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Look w:val="01E0" w:firstRow="1" w:lastRow="1" w:firstColumn="1" w:lastColumn="1" w:noHBand="0" w:noVBand="0"/>
      </w:tblPr>
      <w:tblGrid>
        <w:gridCol w:w="28"/>
        <w:gridCol w:w="741"/>
        <w:gridCol w:w="2084"/>
        <w:gridCol w:w="5788"/>
        <w:gridCol w:w="55"/>
        <w:gridCol w:w="124"/>
      </w:tblGrid>
      <w:tr w:rsidR="00870F64">
        <w:trPr>
          <w:gridBefore w:val="1"/>
          <w:trHeight w:val="295"/>
          <w:jc w:val="center"/>
        </w:trPr>
        <w:tc>
          <w:tcPr>
            <w:tcW w:w="743" w:type="dxa"/>
            <w:tcBorders>
              <w:top w:val="nil"/>
              <w:left w:val="nil"/>
              <w:bottom w:val="nil"/>
              <w:right w:val="nil"/>
            </w:tcBorders>
          </w:tcPr>
          <w:p w:rsidR="00870F64" w:rsidRPr="00587C90" w:rsidRDefault="00870F64">
            <w:pPr>
              <w:jc w:val="both"/>
              <w:rPr>
                <w:rFonts w:ascii="Arial" w:hAnsi="Arial"/>
                <w:b/>
                <w:bCs/>
                <w:sz w:val="26"/>
                <w:szCs w:val="26"/>
              </w:rPr>
            </w:pPr>
            <w:bookmarkStart w:id="0" w:name="_GoBack"/>
            <w:bookmarkEnd w:id="0"/>
          </w:p>
        </w:tc>
        <w:tc>
          <w:tcPr>
            <w:tcW w:w="8077" w:type="dxa"/>
            <w:gridSpan w:val="4"/>
            <w:tcBorders>
              <w:top w:val="nil"/>
              <w:left w:val="nil"/>
              <w:bottom w:val="nil"/>
              <w:right w:val="nil"/>
            </w:tcBorders>
          </w:tcPr>
          <w:p w:rsidR="002D68F5" w:rsidRPr="00587C90" w:rsidRDefault="002D68F5" w:rsidP="002D68F5">
            <w:pPr>
              <w:rPr>
                <w:rFonts w:ascii="Arial" w:hAnsi="Arial"/>
                <w:b/>
                <w:bCs/>
                <w:sz w:val="26"/>
                <w:szCs w:val="26"/>
                <w:highlight w:val="yellow"/>
              </w:rPr>
            </w:pPr>
          </w:p>
        </w:tc>
      </w:tr>
      <w:tr w:rsidR="00286340" w:rsidRPr="00A5795D" w:rsidTr="0028634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28" w:type="dxa"/>
          <w:wAfter w:w="56" w:type="dxa"/>
        </w:trPr>
        <w:tc>
          <w:tcPr>
            <w:tcW w:w="8718" w:type="dxa"/>
            <w:gridSpan w:val="3"/>
            <w:hideMark/>
          </w:tcPr>
          <w:p w:rsidR="00286340" w:rsidRPr="00A5795D" w:rsidRDefault="00407D1A">
            <w:pPr>
              <w:rPr>
                <w:rFonts w:ascii="David" w:hAnsi="David"/>
                <w:b/>
                <w:bCs/>
                <w:sz w:val="26"/>
                <w:szCs w:val="26"/>
                <w:rtl/>
              </w:rPr>
            </w:pPr>
            <w:r w:rsidRPr="00A5795D">
              <w:rPr>
                <w:rFonts w:ascii="David" w:hAnsi="David"/>
                <w:b/>
                <w:bCs/>
                <w:sz w:val="26"/>
                <w:szCs w:val="26"/>
                <w:rtl/>
              </w:rPr>
              <w:t>לפני הרכב כבוד ה</w:t>
            </w:r>
            <w:sdt>
              <w:sdtPr>
                <w:rPr>
                  <w:rFonts w:ascii="David" w:hAnsi="David"/>
                  <w:rtl/>
                </w:rPr>
                <w:alias w:val="165"/>
                <w:tag w:val="165"/>
                <w:id w:val="319463490"/>
                <w:text w:multiLine="1"/>
              </w:sdtPr>
              <w:sdtEndPr/>
              <w:sdtContent>
                <w:r w:rsidRPr="00A5795D">
                  <w:rPr>
                    <w:rFonts w:ascii="David" w:hAnsi="David"/>
                    <w:b/>
                    <w:bCs/>
                    <w:sz w:val="26"/>
                    <w:szCs w:val="26"/>
                    <w:rtl/>
                  </w:rPr>
                  <w:t>שופטים:</w:t>
                </w:r>
                <w:r w:rsidRPr="00A5795D">
                  <w:rPr>
                    <w:rFonts w:ascii="David" w:hAnsi="David"/>
                    <w:b/>
                    <w:bCs/>
                    <w:sz w:val="26"/>
                    <w:szCs w:val="26"/>
                    <w:rtl/>
                  </w:rPr>
                  <w:br/>
                  <w:t>יחיאל ליפשיץ [אב"ד]</w:t>
                </w:r>
                <w:r w:rsidRPr="00A5795D">
                  <w:rPr>
                    <w:rFonts w:ascii="David" w:hAnsi="David"/>
                    <w:b/>
                    <w:bCs/>
                    <w:sz w:val="26"/>
                    <w:szCs w:val="26"/>
                    <w:rtl/>
                  </w:rPr>
                  <w:br/>
                  <w:t>גלית ציגלר</w:t>
                </w:r>
                <w:r w:rsidRPr="00A5795D">
                  <w:rPr>
                    <w:rFonts w:ascii="David" w:hAnsi="David"/>
                    <w:b/>
                    <w:bCs/>
                    <w:sz w:val="26"/>
                    <w:szCs w:val="26"/>
                    <w:rtl/>
                  </w:rPr>
                  <w:br/>
                  <w:t>שמואל מנדלבום</w:t>
                </w:r>
              </w:sdtContent>
            </w:sdt>
            <w:r w:rsidRPr="00A5795D">
              <w:rPr>
                <w:rStyle w:val="TimesNewRomanTimesNewRoman"/>
                <w:rFonts w:ascii="David" w:hAnsi="David"/>
                <w:rtl/>
              </w:rPr>
              <w:t xml:space="preserve"> </w:t>
            </w:r>
          </w:p>
        </w:tc>
      </w:tr>
      <w:tr w:rsidR="00286340" w:rsidRPr="00A5795D" w:rsidTr="0028634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6" w:type="dxa"/>
          <w:cantSplit/>
          <w:trHeight w:val="724"/>
        </w:trPr>
        <w:tc>
          <w:tcPr>
            <w:tcW w:w="2880" w:type="dxa"/>
            <w:gridSpan w:val="3"/>
          </w:tcPr>
          <w:p w:rsidR="00286340" w:rsidRPr="00A5795D" w:rsidRDefault="00367E80">
            <w:pPr>
              <w:ind w:left="26"/>
              <w:rPr>
                <w:rFonts w:ascii="David" w:hAnsi="David"/>
                <w:b/>
                <w:bCs/>
                <w:sz w:val="26"/>
                <w:szCs w:val="26"/>
                <w:rtl/>
              </w:rPr>
            </w:pPr>
          </w:p>
          <w:p w:rsidR="00286340" w:rsidRPr="00A5795D" w:rsidRDefault="00407D1A">
            <w:pPr>
              <w:ind w:left="26"/>
              <w:rPr>
                <w:rFonts w:ascii="David" w:hAnsi="David"/>
                <w:b/>
                <w:bCs/>
                <w:sz w:val="26"/>
                <w:szCs w:val="26"/>
                <w:rtl/>
              </w:rPr>
            </w:pPr>
            <w:r w:rsidRPr="00A5795D">
              <w:rPr>
                <w:rFonts w:ascii="David" w:hAnsi="David"/>
                <w:b/>
                <w:bCs/>
                <w:sz w:val="26"/>
                <w:szCs w:val="26"/>
                <w:rtl/>
              </w:rPr>
              <w:t>ה</w:t>
            </w:r>
            <w:sdt>
              <w:sdtPr>
                <w:rPr>
                  <w:rFonts w:ascii="David" w:hAnsi="David"/>
                  <w:b/>
                  <w:bCs/>
                  <w:sz w:val="26"/>
                  <w:szCs w:val="26"/>
                  <w:rtl/>
                </w:rPr>
                <w:alias w:val="1264"/>
                <w:tag w:val="1264"/>
                <w:id w:val="-678505577"/>
                <w:placeholder>
                  <w:docPart w:val="CFF13705229447FAA4AA1F160C43BEA2"/>
                </w:placeholder>
                <w:text w:multiLine="1"/>
              </w:sdtPr>
              <w:sdtEndPr/>
              <w:sdtContent>
                <w:r w:rsidRPr="00A5795D">
                  <w:rPr>
                    <w:rFonts w:ascii="David" w:hAnsi="David"/>
                    <w:b/>
                    <w:bCs/>
                    <w:sz w:val="26"/>
                    <w:szCs w:val="26"/>
                    <w:rtl/>
                  </w:rPr>
                  <w:t>מאשימה</w:t>
                </w:r>
              </w:sdtContent>
            </w:sdt>
          </w:p>
        </w:tc>
        <w:tc>
          <w:tcPr>
            <w:tcW w:w="5922" w:type="dxa"/>
            <w:gridSpan w:val="2"/>
          </w:tcPr>
          <w:p w:rsidR="00286340" w:rsidRPr="00A5795D" w:rsidRDefault="00367E80">
            <w:pPr>
              <w:rPr>
                <w:rFonts w:ascii="David" w:hAnsi="David"/>
                <w:rtl/>
              </w:rPr>
            </w:pPr>
          </w:p>
          <w:p w:rsidR="00286340" w:rsidRDefault="00367E80">
            <w:pPr>
              <w:rPr>
                <w:rFonts w:ascii="David" w:hAnsi="David"/>
                <w:b/>
                <w:bCs/>
                <w:sz w:val="26"/>
                <w:szCs w:val="26"/>
                <w:rtl/>
              </w:rPr>
            </w:pPr>
            <w:sdt>
              <w:sdtPr>
                <w:rPr>
                  <w:rFonts w:ascii="David" w:hAnsi="David"/>
                  <w:rtl/>
                </w:rPr>
                <w:alias w:val="825"/>
                <w:tag w:val="825"/>
                <w:id w:val="-2140873446"/>
                <w:text w:multiLine="1"/>
              </w:sdtPr>
              <w:sdtEndPr/>
              <w:sdtContent>
                <w:r w:rsidR="00407D1A" w:rsidRPr="00A5795D">
                  <w:rPr>
                    <w:rFonts w:ascii="David" w:hAnsi="David"/>
                    <w:b/>
                    <w:bCs/>
                    <w:sz w:val="26"/>
                    <w:szCs w:val="26"/>
                    <w:rtl/>
                  </w:rPr>
                  <w:t>מדינת ישראל</w:t>
                </w:r>
              </w:sdtContent>
            </w:sdt>
          </w:p>
          <w:p w:rsidR="00097EAE" w:rsidRPr="00A5795D" w:rsidRDefault="00097EAE">
            <w:pPr>
              <w:rPr>
                <w:rFonts w:ascii="David" w:hAnsi="David"/>
                <w:b/>
                <w:bCs/>
                <w:sz w:val="26"/>
                <w:szCs w:val="26"/>
                <w:rtl/>
              </w:rPr>
            </w:pPr>
            <w:r>
              <w:rPr>
                <w:rFonts w:ascii="David" w:hAnsi="David" w:hint="cs"/>
                <w:b/>
                <w:bCs/>
                <w:sz w:val="26"/>
                <w:szCs w:val="26"/>
                <w:rtl/>
              </w:rPr>
              <w:t>באמצעות פרקליטות מחוז חיפה - פלילי</w:t>
            </w:r>
          </w:p>
          <w:p w:rsidR="00286340" w:rsidRPr="00A5795D" w:rsidRDefault="00367E80">
            <w:pPr>
              <w:rPr>
                <w:rFonts w:ascii="David" w:hAnsi="David"/>
                <w:b/>
                <w:bCs/>
                <w:sz w:val="26"/>
                <w:szCs w:val="26"/>
                <w:rtl/>
              </w:rPr>
            </w:pPr>
          </w:p>
        </w:tc>
      </w:tr>
      <w:tr w:rsidR="00286340" w:rsidRPr="00A5795D" w:rsidTr="0028634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6" w:type="dxa"/>
        </w:trPr>
        <w:tc>
          <w:tcPr>
            <w:tcW w:w="8802" w:type="dxa"/>
            <w:gridSpan w:val="5"/>
            <w:vAlign w:val="center"/>
          </w:tcPr>
          <w:p w:rsidR="00286340" w:rsidRPr="00A5795D" w:rsidRDefault="00367E80">
            <w:pPr>
              <w:jc w:val="center"/>
              <w:rPr>
                <w:rFonts w:ascii="David" w:hAnsi="David"/>
                <w:b/>
                <w:bCs/>
                <w:sz w:val="26"/>
                <w:szCs w:val="26"/>
                <w:rtl/>
              </w:rPr>
            </w:pPr>
          </w:p>
          <w:p w:rsidR="00286340" w:rsidRPr="00A5795D" w:rsidRDefault="00407D1A">
            <w:pPr>
              <w:jc w:val="center"/>
              <w:rPr>
                <w:rFonts w:ascii="David" w:hAnsi="David"/>
                <w:b/>
                <w:bCs/>
                <w:sz w:val="26"/>
                <w:szCs w:val="26"/>
                <w:rtl/>
              </w:rPr>
            </w:pPr>
            <w:r w:rsidRPr="00A5795D">
              <w:rPr>
                <w:rFonts w:ascii="David" w:hAnsi="David"/>
                <w:b/>
                <w:bCs/>
                <w:sz w:val="26"/>
                <w:szCs w:val="26"/>
                <w:rtl/>
              </w:rPr>
              <w:t>נגד</w:t>
            </w:r>
          </w:p>
          <w:p w:rsidR="00286340" w:rsidRPr="00A5795D" w:rsidRDefault="00367E80">
            <w:pPr>
              <w:rPr>
                <w:rFonts w:ascii="David" w:hAnsi="David"/>
                <w:b/>
                <w:bCs/>
                <w:sz w:val="26"/>
                <w:szCs w:val="26"/>
                <w:rtl/>
              </w:rPr>
            </w:pPr>
          </w:p>
        </w:tc>
      </w:tr>
      <w:tr w:rsidR="00286340" w:rsidRPr="00A5795D" w:rsidTr="0028634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6" w:type="dxa"/>
        </w:trPr>
        <w:tc>
          <w:tcPr>
            <w:tcW w:w="2880" w:type="dxa"/>
            <w:gridSpan w:val="3"/>
            <w:hideMark/>
          </w:tcPr>
          <w:p w:rsidR="00286340" w:rsidRPr="00A5795D" w:rsidRDefault="00407D1A">
            <w:pPr>
              <w:ind w:left="26"/>
              <w:rPr>
                <w:rFonts w:ascii="David" w:hAnsi="David"/>
                <w:b/>
                <w:bCs/>
                <w:sz w:val="26"/>
                <w:szCs w:val="26"/>
              </w:rPr>
            </w:pPr>
            <w:r w:rsidRPr="00A5795D">
              <w:rPr>
                <w:rFonts w:ascii="David" w:hAnsi="David"/>
                <w:b/>
                <w:bCs/>
                <w:sz w:val="26"/>
                <w:szCs w:val="26"/>
                <w:rtl/>
              </w:rPr>
              <w:t>ה</w:t>
            </w:r>
            <w:sdt>
              <w:sdtPr>
                <w:rPr>
                  <w:rFonts w:ascii="David" w:hAnsi="David"/>
                  <w:b/>
                  <w:bCs/>
                  <w:sz w:val="26"/>
                  <w:szCs w:val="26"/>
                  <w:rtl/>
                </w:rPr>
                <w:alias w:val="1265"/>
                <w:tag w:val="1265"/>
                <w:id w:val="-275248279"/>
                <w:placeholder>
                  <w:docPart w:val="767601FDC2234353B65B4242295B8B1D"/>
                </w:placeholder>
                <w:text w:multiLine="1"/>
              </w:sdtPr>
              <w:sdtEndPr/>
              <w:sdtContent>
                <w:r w:rsidRPr="00A5795D">
                  <w:rPr>
                    <w:rFonts w:ascii="David" w:hAnsi="David"/>
                    <w:b/>
                    <w:bCs/>
                    <w:sz w:val="26"/>
                    <w:szCs w:val="26"/>
                    <w:rtl/>
                  </w:rPr>
                  <w:t>נאשמים</w:t>
                </w:r>
              </w:sdtContent>
            </w:sdt>
          </w:p>
        </w:tc>
        <w:tc>
          <w:tcPr>
            <w:tcW w:w="5922" w:type="dxa"/>
            <w:gridSpan w:val="2"/>
          </w:tcPr>
          <w:p w:rsidR="00286340" w:rsidRDefault="00367E80">
            <w:pPr>
              <w:rPr>
                <w:rFonts w:ascii="David" w:hAnsi="David"/>
                <w:b/>
                <w:bCs/>
                <w:sz w:val="26"/>
                <w:szCs w:val="26"/>
                <w:rtl/>
              </w:rPr>
            </w:pPr>
            <w:sdt>
              <w:sdtPr>
                <w:rPr>
                  <w:rFonts w:ascii="David" w:hAnsi="David"/>
                  <w:rtl/>
                </w:rPr>
                <w:alias w:val="829"/>
                <w:tag w:val="829"/>
                <w:id w:val="1503937933"/>
                <w:text w:multiLine="1"/>
              </w:sdtPr>
              <w:sdtEndPr/>
              <w:sdtContent>
                <w:r w:rsidR="00407D1A" w:rsidRPr="00A5795D">
                  <w:rPr>
                    <w:rFonts w:ascii="David" w:hAnsi="David"/>
                    <w:b/>
                    <w:bCs/>
                    <w:sz w:val="26"/>
                    <w:szCs w:val="26"/>
                  </w:rPr>
                  <w:t>.1</w:t>
                </w:r>
              </w:sdtContent>
            </w:sdt>
            <w:r w:rsidR="00407D1A" w:rsidRPr="00A5795D">
              <w:rPr>
                <w:rFonts w:ascii="David" w:hAnsi="David"/>
                <w:rtl/>
              </w:rPr>
              <w:t xml:space="preserve"> </w:t>
            </w:r>
            <w:sdt>
              <w:sdtPr>
                <w:rPr>
                  <w:rFonts w:ascii="David" w:hAnsi="David"/>
                  <w:rtl/>
                </w:rPr>
                <w:alias w:val="1266"/>
                <w:tag w:val="1266"/>
                <w:id w:val="-1527786861"/>
                <w:text w:multiLine="1"/>
              </w:sdtPr>
              <w:sdtEndPr/>
              <w:sdtContent>
                <w:r w:rsidR="00407D1A" w:rsidRPr="00A5795D">
                  <w:rPr>
                    <w:rFonts w:ascii="David" w:hAnsi="David"/>
                    <w:b/>
                    <w:bCs/>
                    <w:sz w:val="26"/>
                    <w:szCs w:val="26"/>
                    <w:rtl/>
                  </w:rPr>
                  <w:t>קוסאי עבאס (עציר)</w:t>
                </w:r>
              </w:sdtContent>
            </w:sdt>
            <w:r w:rsidR="00407D1A" w:rsidRPr="00A5795D">
              <w:rPr>
                <w:rFonts w:ascii="David" w:hAnsi="David"/>
                <w:rtl/>
              </w:rPr>
              <w:t xml:space="preserve"> </w:t>
            </w:r>
            <w:sdt>
              <w:sdtPr>
                <w:rPr>
                  <w:rFonts w:ascii="David" w:hAnsi="David"/>
                  <w:b/>
                  <w:bCs/>
                  <w:sz w:val="26"/>
                  <w:szCs w:val="26"/>
                  <w:rtl/>
                </w:rPr>
                <w:alias w:val="2687"/>
                <w:tag w:val="2687"/>
                <w:id w:val="-602184013"/>
                <w:placeholder>
                  <w:docPart w:val="F69D9FFBFB2A4BC4924C06C35D557D81"/>
                </w:placeholder>
                <w:text w:multiLine="1"/>
              </w:sdtPr>
              <w:sdtEndPr/>
              <w:sdtContent>
                <w:r w:rsidR="00407D1A" w:rsidRPr="00A5795D">
                  <w:rPr>
                    <w:rFonts w:ascii="David" w:hAnsi="David"/>
                    <w:b/>
                    <w:bCs/>
                    <w:sz w:val="26"/>
                    <w:szCs w:val="26"/>
                    <w:rtl/>
                  </w:rPr>
                  <w:t>ת"ז</w:t>
                </w:r>
              </w:sdtContent>
            </w:sdt>
            <w:r w:rsidR="00407D1A" w:rsidRPr="00A5795D">
              <w:rPr>
                <w:rFonts w:ascii="David" w:hAnsi="David"/>
                <w:b/>
                <w:bCs/>
                <w:sz w:val="26"/>
                <w:szCs w:val="26"/>
                <w:rtl/>
              </w:rPr>
              <w:t xml:space="preserve">  </w:t>
            </w:r>
            <w:sdt>
              <w:sdtPr>
                <w:rPr>
                  <w:rFonts w:ascii="David" w:hAnsi="David"/>
                  <w:b/>
                  <w:bCs/>
                  <w:sz w:val="26"/>
                  <w:szCs w:val="26"/>
                  <w:rtl/>
                </w:rPr>
                <w:alias w:val="2689"/>
                <w:tag w:val="2689"/>
                <w:id w:val="1503016786"/>
                <w:placeholder>
                  <w:docPart w:val="64936E29BB084FC58B3B5E829DC479F8"/>
                </w:placeholder>
                <w:text w:multiLine="1"/>
              </w:sdtPr>
              <w:sdtEndPr/>
              <w:sdtContent>
                <w:r w:rsidR="00407D1A" w:rsidRPr="00A5795D">
                  <w:rPr>
                    <w:rFonts w:ascii="David" w:hAnsi="David"/>
                    <w:b/>
                    <w:bCs/>
                    <w:sz w:val="26"/>
                    <w:szCs w:val="26"/>
                    <w:rtl/>
                  </w:rPr>
                  <w:t>206441214</w:t>
                </w:r>
              </w:sdtContent>
            </w:sdt>
            <w:r w:rsidR="00407D1A" w:rsidRPr="00A5795D">
              <w:rPr>
                <w:rFonts w:ascii="David" w:hAnsi="David"/>
                <w:b/>
                <w:bCs/>
                <w:sz w:val="26"/>
                <w:szCs w:val="26"/>
                <w:rtl/>
              </w:rPr>
              <w:t xml:space="preserve"> </w:t>
            </w:r>
          </w:p>
          <w:p w:rsidR="00097EAE" w:rsidRPr="00A5795D" w:rsidRDefault="00097EAE" w:rsidP="00097EAE">
            <w:pPr>
              <w:rPr>
                <w:rFonts w:ascii="David" w:hAnsi="David"/>
                <w:b/>
                <w:bCs/>
                <w:sz w:val="26"/>
                <w:szCs w:val="26"/>
                <w:rtl/>
              </w:rPr>
            </w:pPr>
            <w:r>
              <w:rPr>
                <w:rFonts w:ascii="David" w:hAnsi="David" w:hint="cs"/>
                <w:b/>
                <w:bCs/>
                <w:sz w:val="26"/>
                <w:szCs w:val="26"/>
                <w:rtl/>
              </w:rPr>
              <w:t xml:space="preserve">    באמצעות בא כוחו - עו"ד רמזי קטילאת</w:t>
            </w:r>
          </w:p>
          <w:p w:rsidR="00286340" w:rsidRPr="00A5795D" w:rsidRDefault="00367E80">
            <w:pPr>
              <w:rPr>
                <w:rFonts w:ascii="David" w:hAnsi="David"/>
                <w:b/>
                <w:bCs/>
                <w:sz w:val="26"/>
                <w:szCs w:val="26"/>
                <w:rtl/>
              </w:rPr>
            </w:pPr>
          </w:p>
          <w:p w:rsidR="00286340" w:rsidRPr="00A5795D" w:rsidRDefault="00367E80" w:rsidP="00097EAE">
            <w:pPr>
              <w:rPr>
                <w:rFonts w:ascii="David" w:hAnsi="David"/>
                <w:b/>
                <w:bCs/>
                <w:sz w:val="26"/>
                <w:szCs w:val="26"/>
                <w:rtl/>
              </w:rPr>
            </w:pPr>
            <w:sdt>
              <w:sdtPr>
                <w:rPr>
                  <w:rFonts w:ascii="David" w:hAnsi="David"/>
                  <w:rtl/>
                </w:rPr>
                <w:alias w:val="829"/>
                <w:tag w:val="829"/>
                <w:id w:val="2082171112"/>
                <w:text w:multiLine="1"/>
              </w:sdtPr>
              <w:sdtEndPr/>
              <w:sdtContent>
                <w:r w:rsidR="00407D1A" w:rsidRPr="00A5795D">
                  <w:rPr>
                    <w:rFonts w:ascii="David" w:hAnsi="David"/>
                    <w:b/>
                    <w:bCs/>
                    <w:sz w:val="26"/>
                    <w:szCs w:val="26"/>
                  </w:rPr>
                  <w:t>.2</w:t>
                </w:r>
              </w:sdtContent>
            </w:sdt>
            <w:r w:rsidR="00407D1A" w:rsidRPr="00A5795D">
              <w:rPr>
                <w:rFonts w:ascii="David" w:hAnsi="David"/>
                <w:rtl/>
              </w:rPr>
              <w:t xml:space="preserve"> </w:t>
            </w:r>
            <w:sdt>
              <w:sdtPr>
                <w:rPr>
                  <w:rFonts w:ascii="David" w:hAnsi="David"/>
                  <w:rtl/>
                </w:rPr>
                <w:alias w:val="1266"/>
                <w:tag w:val="1266"/>
                <w:id w:val="-249047466"/>
                <w:text w:multiLine="1"/>
              </w:sdtPr>
              <w:sdtEndPr/>
              <w:sdtContent>
                <w:r w:rsidR="00407D1A" w:rsidRPr="00A5795D">
                  <w:rPr>
                    <w:rFonts w:ascii="David" w:hAnsi="David"/>
                    <w:b/>
                    <w:bCs/>
                    <w:sz w:val="26"/>
                    <w:szCs w:val="26"/>
                    <w:rtl/>
                  </w:rPr>
                  <w:t>אדהם בשיר (עציר)</w:t>
                </w:r>
              </w:sdtContent>
            </w:sdt>
            <w:r w:rsidR="00097EAE">
              <w:rPr>
                <w:rFonts w:ascii="David" w:hAnsi="David" w:hint="cs"/>
                <w:rtl/>
              </w:rPr>
              <w:t xml:space="preserve"> </w:t>
            </w:r>
            <w:r w:rsidR="00097EAE">
              <w:rPr>
                <w:rFonts w:ascii="David" w:hAnsi="David"/>
                <w:rtl/>
              </w:rPr>
              <w:t>–</w:t>
            </w:r>
            <w:r w:rsidR="00097EAE">
              <w:rPr>
                <w:rFonts w:ascii="David" w:hAnsi="David" w:hint="cs"/>
                <w:rtl/>
              </w:rPr>
              <w:t xml:space="preserve"> עניינו הסתיים</w:t>
            </w:r>
          </w:p>
          <w:p w:rsidR="00286340" w:rsidRPr="00A5795D" w:rsidRDefault="00367E80">
            <w:pPr>
              <w:rPr>
                <w:rFonts w:ascii="David" w:hAnsi="David"/>
                <w:b/>
                <w:bCs/>
                <w:sz w:val="26"/>
                <w:szCs w:val="26"/>
                <w:rtl/>
              </w:rPr>
            </w:pPr>
          </w:p>
          <w:p w:rsidR="00286340" w:rsidRPr="00A5795D" w:rsidRDefault="00367E80" w:rsidP="00097EAE">
            <w:pPr>
              <w:rPr>
                <w:rFonts w:ascii="David" w:hAnsi="David"/>
                <w:b/>
                <w:bCs/>
                <w:sz w:val="26"/>
                <w:szCs w:val="26"/>
                <w:rtl/>
              </w:rPr>
            </w:pPr>
            <w:sdt>
              <w:sdtPr>
                <w:rPr>
                  <w:rFonts w:ascii="David" w:hAnsi="David"/>
                  <w:rtl/>
                </w:rPr>
                <w:alias w:val="829"/>
                <w:tag w:val="829"/>
                <w:id w:val="-2005504903"/>
                <w:text w:multiLine="1"/>
              </w:sdtPr>
              <w:sdtEndPr/>
              <w:sdtContent>
                <w:r w:rsidR="00407D1A" w:rsidRPr="00A5795D">
                  <w:rPr>
                    <w:rFonts w:ascii="David" w:hAnsi="David"/>
                    <w:b/>
                    <w:bCs/>
                    <w:sz w:val="26"/>
                    <w:szCs w:val="26"/>
                  </w:rPr>
                  <w:t>.3</w:t>
                </w:r>
              </w:sdtContent>
            </w:sdt>
            <w:r w:rsidR="00407D1A" w:rsidRPr="00A5795D">
              <w:rPr>
                <w:rFonts w:ascii="David" w:hAnsi="David"/>
                <w:rtl/>
              </w:rPr>
              <w:t xml:space="preserve"> </w:t>
            </w:r>
            <w:sdt>
              <w:sdtPr>
                <w:rPr>
                  <w:rFonts w:ascii="David" w:hAnsi="David"/>
                  <w:rtl/>
                </w:rPr>
                <w:alias w:val="1266"/>
                <w:tag w:val="1266"/>
                <w:id w:val="929466470"/>
                <w:text w:multiLine="1"/>
              </w:sdtPr>
              <w:sdtEndPr/>
              <w:sdtContent>
                <w:r w:rsidR="00407D1A" w:rsidRPr="00A5795D">
                  <w:rPr>
                    <w:rFonts w:ascii="David" w:hAnsi="David"/>
                    <w:b/>
                    <w:bCs/>
                    <w:sz w:val="26"/>
                    <w:szCs w:val="26"/>
                    <w:rtl/>
                  </w:rPr>
                  <w:t>בילאל חילואני</w:t>
                </w:r>
              </w:sdtContent>
            </w:sdt>
            <w:r w:rsidR="00097EAE">
              <w:rPr>
                <w:rFonts w:ascii="David" w:hAnsi="David" w:hint="cs"/>
                <w:rtl/>
              </w:rPr>
              <w:t xml:space="preserve"> </w:t>
            </w:r>
            <w:r w:rsidR="00097EAE">
              <w:rPr>
                <w:rFonts w:ascii="David" w:hAnsi="David"/>
                <w:rtl/>
              </w:rPr>
              <w:t>–</w:t>
            </w:r>
            <w:r w:rsidR="00097EAE">
              <w:rPr>
                <w:rFonts w:ascii="David" w:hAnsi="David" w:hint="cs"/>
                <w:rtl/>
              </w:rPr>
              <w:t xml:space="preserve"> עניינו הסתיים</w:t>
            </w:r>
          </w:p>
          <w:p w:rsidR="00286340" w:rsidRPr="00A5795D" w:rsidRDefault="00367E80">
            <w:pPr>
              <w:rPr>
                <w:rFonts w:ascii="David" w:hAnsi="David"/>
                <w:b/>
                <w:bCs/>
                <w:sz w:val="26"/>
                <w:szCs w:val="26"/>
                <w:rtl/>
              </w:rPr>
            </w:pPr>
          </w:p>
        </w:tc>
      </w:tr>
      <w:tr w:rsidR="00097EAE" w:rsidRPr="00A5795D" w:rsidTr="0028634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6" w:type="dxa"/>
        </w:trPr>
        <w:tc>
          <w:tcPr>
            <w:tcW w:w="2880" w:type="dxa"/>
            <w:gridSpan w:val="3"/>
          </w:tcPr>
          <w:p w:rsidR="00097EAE" w:rsidRPr="00A5795D" w:rsidRDefault="00097EAE">
            <w:pPr>
              <w:ind w:left="26"/>
              <w:rPr>
                <w:rFonts w:ascii="David" w:hAnsi="David"/>
                <w:b/>
                <w:bCs/>
                <w:sz w:val="26"/>
                <w:szCs w:val="26"/>
                <w:rtl/>
              </w:rPr>
            </w:pPr>
          </w:p>
        </w:tc>
        <w:tc>
          <w:tcPr>
            <w:tcW w:w="5922" w:type="dxa"/>
            <w:gridSpan w:val="2"/>
          </w:tcPr>
          <w:p w:rsidR="00097EAE" w:rsidRPr="00A5795D" w:rsidRDefault="00097EAE">
            <w:pPr>
              <w:rPr>
                <w:rFonts w:ascii="David" w:hAnsi="David"/>
                <w:b/>
                <w:bCs/>
                <w:sz w:val="26"/>
                <w:szCs w:val="26"/>
              </w:rPr>
            </w:pPr>
          </w:p>
        </w:tc>
      </w:tr>
    </w:tbl>
    <w:p w:rsidR="00286340" w:rsidRPr="00A5795D" w:rsidRDefault="00407D1A" w:rsidP="00286340">
      <w:pPr>
        <w:spacing w:line="360" w:lineRule="auto"/>
        <w:jc w:val="both"/>
        <w:rPr>
          <w:rFonts w:ascii="David" w:hAnsi="David"/>
          <w:sz w:val="6"/>
          <w:szCs w:val="6"/>
          <w:rtl/>
        </w:rPr>
      </w:pPr>
      <w:r w:rsidRPr="00A5795D">
        <w:rPr>
          <w:rFonts w:ascii="David" w:hAnsi="David"/>
          <w:sz w:val="6"/>
          <w:szCs w:val="6"/>
          <w:rtl/>
        </w:rPr>
        <w:t>&lt;#2#&gt;</w:t>
      </w:r>
    </w:p>
    <w:p w:rsidR="001434F7" w:rsidRPr="00A5795D" w:rsidRDefault="00367E80">
      <w:pPr>
        <w:rPr>
          <w:rFonts w:ascii="David" w:hAnsi="David"/>
        </w:rPr>
      </w:pPr>
    </w:p>
    <w:tbl>
      <w:tblPr>
        <w:tblStyle w:val="a5"/>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Pr="00B949CB" w:rsidRDefault="0051562C">
            <w:pPr>
              <w:jc w:val="center"/>
              <w:rPr>
                <w:rFonts w:ascii="Arial" w:hAnsi="Arial"/>
                <w:sz w:val="28"/>
                <w:szCs w:val="28"/>
                <w:u w:val="single"/>
                <w:rtl/>
              </w:rPr>
            </w:pPr>
            <w:r w:rsidRPr="00B949CB">
              <w:rPr>
                <w:rFonts w:ascii="Arial" w:hAnsi="Arial"/>
                <w:b/>
                <w:bCs/>
                <w:sz w:val="28"/>
                <w:szCs w:val="28"/>
                <w:u w:val="single"/>
                <w:rtl/>
              </w:rPr>
              <w:t>הכרעת דין</w:t>
            </w:r>
            <w:r w:rsidR="00097EAE">
              <w:rPr>
                <w:rFonts w:ascii="Arial" w:hAnsi="Arial" w:hint="cs"/>
                <w:b/>
                <w:bCs/>
                <w:sz w:val="28"/>
                <w:szCs w:val="28"/>
                <w:u w:val="single"/>
                <w:rtl/>
              </w:rPr>
              <w:t xml:space="preserve"> בעניינו של הנאשם 1</w:t>
            </w:r>
          </w:p>
        </w:tc>
      </w:tr>
    </w:tbl>
    <w:p w:rsidR="00870F64" w:rsidRPr="00587C90" w:rsidRDefault="00870F64">
      <w:pPr>
        <w:rPr>
          <w:rFonts w:ascii="David" w:hAnsi="David"/>
          <w:sz w:val="26"/>
          <w:szCs w:val="26"/>
          <w:rtl/>
        </w:rPr>
      </w:pPr>
    </w:p>
    <w:p w:rsidR="00097EAE" w:rsidRPr="002A5862" w:rsidRDefault="00097EAE" w:rsidP="00097EAE">
      <w:pPr>
        <w:spacing w:line="360" w:lineRule="auto"/>
        <w:jc w:val="both"/>
        <w:rPr>
          <w:rFonts w:ascii="David" w:hAnsi="David"/>
          <w:b/>
          <w:bCs/>
          <w:u w:val="single"/>
        </w:rPr>
      </w:pPr>
      <w:r w:rsidRPr="002A5862">
        <w:rPr>
          <w:rFonts w:ascii="David" w:hAnsi="David"/>
          <w:b/>
          <w:bCs/>
          <w:u w:val="single"/>
          <w:rtl/>
        </w:rPr>
        <w:t>השופט יחיאל ליפשיץ:</w:t>
      </w:r>
    </w:p>
    <w:p w:rsidR="00097EAE" w:rsidRDefault="00097EAE" w:rsidP="00097EAE">
      <w:pPr>
        <w:spacing w:line="360" w:lineRule="auto"/>
        <w:jc w:val="both"/>
        <w:rPr>
          <w:rFonts w:ascii="David" w:hAnsi="David"/>
          <w:b/>
          <w:bCs/>
          <w:sz w:val="28"/>
          <w:szCs w:val="28"/>
          <w:u w:val="single"/>
          <w:rtl/>
        </w:rPr>
      </w:pPr>
    </w:p>
    <w:p w:rsidR="00097EAE" w:rsidRDefault="00097EAE" w:rsidP="00097EAE">
      <w:pPr>
        <w:spacing w:line="360" w:lineRule="auto"/>
        <w:jc w:val="both"/>
        <w:rPr>
          <w:rFonts w:ascii="David" w:hAnsi="David"/>
          <w:u w:val="single"/>
          <w:rtl/>
        </w:rPr>
      </w:pPr>
      <w:r>
        <w:rPr>
          <w:rFonts w:ascii="David" w:hAnsi="David"/>
          <w:u w:val="single"/>
          <w:rtl/>
        </w:rPr>
        <w:t>כללי</w:t>
      </w:r>
    </w:p>
    <w:p w:rsidR="00097EAE" w:rsidRDefault="00097EAE" w:rsidP="00097EAE">
      <w:pPr>
        <w:pStyle w:val="aa"/>
        <w:numPr>
          <w:ilvl w:val="0"/>
          <w:numId w:val="7"/>
        </w:numPr>
        <w:spacing w:after="0" w:line="360" w:lineRule="auto"/>
        <w:ind w:left="0"/>
        <w:jc w:val="both"/>
        <w:rPr>
          <w:rFonts w:ascii="David" w:hAnsi="David" w:cs="David"/>
          <w:sz w:val="24"/>
          <w:szCs w:val="24"/>
          <w:rtl/>
        </w:rPr>
      </w:pPr>
      <w:r>
        <w:rPr>
          <w:rFonts w:ascii="David" w:hAnsi="David" w:cs="David"/>
          <w:sz w:val="24"/>
          <w:szCs w:val="24"/>
          <w:rtl/>
        </w:rPr>
        <w:t xml:space="preserve">ביום 12.5.21 נסע מור ג'נאשוילי (להלן: </w:t>
      </w:r>
      <w:r>
        <w:rPr>
          <w:rFonts w:ascii="David" w:hAnsi="David" w:cs="David"/>
          <w:b/>
          <w:bCs/>
          <w:sz w:val="24"/>
          <w:szCs w:val="24"/>
          <w:rtl/>
        </w:rPr>
        <w:t>מור</w:t>
      </w:r>
      <w:r>
        <w:rPr>
          <w:rFonts w:ascii="David" w:hAnsi="David" w:cs="David"/>
          <w:sz w:val="24"/>
          <w:szCs w:val="24"/>
          <w:rtl/>
        </w:rPr>
        <w:t xml:space="preserve">, או - </w:t>
      </w:r>
      <w:r>
        <w:rPr>
          <w:rFonts w:ascii="David" w:hAnsi="David" w:cs="David"/>
          <w:b/>
          <w:bCs/>
          <w:sz w:val="24"/>
          <w:szCs w:val="24"/>
          <w:rtl/>
        </w:rPr>
        <w:t>המתלונן</w:t>
      </w:r>
      <w:r>
        <w:rPr>
          <w:rFonts w:ascii="David" w:hAnsi="David" w:cs="David"/>
          <w:sz w:val="24"/>
          <w:szCs w:val="24"/>
          <w:rtl/>
        </w:rPr>
        <w:t xml:space="preserve">) לבקר את אמו שהתגוררה בעכו. הימים ימי מבצע "שומר החומות", תקופה סוערת במהלכה התרחשו התפרעויות אלימות ברחבי הארץ על רקע לאומני–גזעני, ואשר כללו תקיפות של כוחות הביטחון ושל אזרחים יהודים וערבים. סמוך להגעת המתלונן לבית אמו, החלו מתפרעים ליידות אבנים לעבר רכבו והוא הותקף קשות, הן כאשר ישב בתוך הרכב והן כאשר יצא מהרכב וניסה להימלט מהפורעים.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Pr>
      </w:pPr>
      <w:r>
        <w:rPr>
          <w:rFonts w:ascii="David" w:hAnsi="David" w:cs="David"/>
          <w:sz w:val="24"/>
          <w:szCs w:val="24"/>
          <w:rtl/>
        </w:rPr>
        <w:t xml:space="preserve">במסגרת ההליך הנוכחי הועמדו לדין 3 נאשמים. ההליך כנגד שניים מהם שהואשמו והורשעו בעבירות קלות מאלה שיוחסו לנאשם שלפנינו (להלן: </w:t>
      </w:r>
      <w:r>
        <w:rPr>
          <w:rFonts w:ascii="David" w:hAnsi="David" w:cs="David"/>
          <w:b/>
          <w:bCs/>
          <w:sz w:val="24"/>
          <w:szCs w:val="24"/>
          <w:rtl/>
        </w:rPr>
        <w:t>הנאשם 1,</w:t>
      </w:r>
      <w:r>
        <w:rPr>
          <w:rFonts w:ascii="David" w:hAnsi="David" w:cs="David"/>
          <w:sz w:val="24"/>
          <w:szCs w:val="24"/>
          <w:rtl/>
        </w:rPr>
        <w:t xml:space="preserve"> או – </w:t>
      </w:r>
      <w:r>
        <w:rPr>
          <w:rFonts w:ascii="David" w:hAnsi="David" w:cs="David"/>
          <w:b/>
          <w:bCs/>
          <w:sz w:val="24"/>
          <w:szCs w:val="24"/>
          <w:rtl/>
        </w:rPr>
        <w:t>הנאשם</w:t>
      </w:r>
      <w:r>
        <w:rPr>
          <w:rFonts w:ascii="David" w:hAnsi="David" w:cs="David"/>
          <w:sz w:val="24"/>
          <w:szCs w:val="24"/>
          <w:rtl/>
        </w:rPr>
        <w:t xml:space="preserve">) הסתיים זה מכבר, וכעת יוכרע עניינו של הנאשם. הנאשם אישר כי נטל חלק בתקיפת המתלונן, אך כפר באישום המרכזי שיוחס לו והוא </w:t>
      </w:r>
      <w:r>
        <w:rPr>
          <w:rFonts w:ascii="David" w:hAnsi="David" w:cs="David"/>
          <w:b/>
          <w:bCs/>
          <w:sz w:val="24"/>
          <w:szCs w:val="24"/>
          <w:rtl/>
        </w:rPr>
        <w:t>מעשה טרור של ניסיון רצח</w:t>
      </w:r>
      <w:r>
        <w:rPr>
          <w:rFonts w:ascii="David" w:hAnsi="David" w:cs="David"/>
          <w:sz w:val="24"/>
          <w:szCs w:val="24"/>
          <w:rtl/>
        </w:rPr>
        <w:t>. בהכרעת הדין להלן תידון השאלה המרכזית לעיל, וכן סוגיות נוספות, עובדתיות ומשפטיות.</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u w:val="single"/>
          <w:rtl/>
        </w:rPr>
      </w:pPr>
      <w:r>
        <w:rPr>
          <w:rFonts w:ascii="David" w:hAnsi="David"/>
          <w:u w:val="single"/>
          <w:rtl/>
        </w:rPr>
        <w:t xml:space="preserve">עיקר כתב האישום </w:t>
      </w:r>
    </w:p>
    <w:p w:rsidR="00097EAE" w:rsidRDefault="00097EAE" w:rsidP="00097EAE">
      <w:pPr>
        <w:pStyle w:val="aa"/>
        <w:numPr>
          <w:ilvl w:val="0"/>
          <w:numId w:val="7"/>
        </w:numPr>
        <w:spacing w:after="0" w:line="360" w:lineRule="auto"/>
        <w:ind w:left="0"/>
        <w:jc w:val="both"/>
        <w:rPr>
          <w:rFonts w:ascii="David" w:hAnsi="David" w:cs="David"/>
          <w:sz w:val="24"/>
          <w:szCs w:val="24"/>
          <w:rtl/>
        </w:rPr>
      </w:pPr>
      <w:r>
        <w:rPr>
          <w:rFonts w:ascii="David" w:hAnsi="David" w:cs="David"/>
          <w:sz w:val="24"/>
          <w:szCs w:val="24"/>
          <w:rtl/>
        </w:rPr>
        <w:lastRenderedPageBreak/>
        <w:t xml:space="preserve">בחלק הכללי של כתב האישום (כתב האישום המתוקן מיום 13.12.21) תואר כי במסגרת מבצע "שומר החומות" התרחשו התפרעויות אלימות ברחבי הארץ על רקע לאומני–גזעני, שכללו תקיפות של כוחות הביטחון ושל אזרחים יהודים וערבים. גל ההתפרעויות התרחש בין היתר בעכו, ובוצעו מעשי אלימות שונים כלפי כוחות משטרה ואזרחים ובכלל זה יידוי אבנים, ירי זיקוקים, השלכת בקבוקי תבערה, ירי חי, והצתת מבנים ורכוש בבעלות יהודית. </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rtl/>
        </w:rPr>
        <w:t>נטען, כי על רקע המתואר לעיל, ביום</w:t>
      </w:r>
      <w:r>
        <w:rPr>
          <w:rFonts w:ascii="David" w:hAnsi="David"/>
          <w:b/>
          <w:bCs/>
          <w:rtl/>
        </w:rPr>
        <w:t xml:space="preserve"> 12.5.21</w:t>
      </w:r>
      <w:r>
        <w:rPr>
          <w:rFonts w:ascii="David" w:hAnsi="David"/>
          <w:rtl/>
        </w:rPr>
        <w:t xml:space="preserve"> סמוך לשעה </w:t>
      </w:r>
      <w:r>
        <w:rPr>
          <w:rFonts w:ascii="David" w:hAnsi="David"/>
          <w:b/>
          <w:bCs/>
          <w:rtl/>
        </w:rPr>
        <w:t>21:20</w:t>
      </w:r>
      <w:r>
        <w:rPr>
          <w:rFonts w:ascii="David" w:hAnsi="David"/>
          <w:rtl/>
        </w:rPr>
        <w:t xml:space="preserve"> התאספו עשרות צעירים, מרביתם רעולי פנים, חמושים במקלות ואבנים (להלן: </w:t>
      </w:r>
      <w:r>
        <w:rPr>
          <w:rFonts w:ascii="David" w:hAnsi="David"/>
          <w:b/>
          <w:bCs/>
          <w:rtl/>
        </w:rPr>
        <w:t>המתפרעים</w:t>
      </w:r>
      <w:r>
        <w:rPr>
          <w:rFonts w:ascii="David" w:hAnsi="David"/>
          <w:rtl/>
        </w:rPr>
        <w:t xml:space="preserve">) בפינת הרחובות דרך הארבעה ויאנוש קורצ'אק בעכו (להלן: </w:t>
      </w:r>
      <w:r>
        <w:rPr>
          <w:rFonts w:ascii="David" w:hAnsi="David"/>
          <w:b/>
          <w:bCs/>
          <w:rtl/>
        </w:rPr>
        <w:t>הצומת</w:t>
      </w:r>
      <w:r>
        <w:rPr>
          <w:rFonts w:ascii="David" w:hAnsi="David"/>
          <w:rtl/>
        </w:rPr>
        <w:t xml:space="preserve">). </w:t>
      </w:r>
      <w:r>
        <w:rPr>
          <w:rFonts w:ascii="David" w:hAnsi="David"/>
          <w:u w:val="single"/>
          <w:rtl/>
        </w:rPr>
        <w:t>בין המתפרעים נכח גם הנאשם שהיה רעול פנים</w:t>
      </w:r>
      <w:r>
        <w:rPr>
          <w:rFonts w:ascii="David" w:hAnsi="David"/>
          <w:rtl/>
        </w:rPr>
        <w:t xml:space="preserve">. המתפרעים יידו אבנים לעבר מכת"זית משטרתית שהגיעה למקום כדי לפזרם, וחסמו את נתיבי הנסיעה בפינת הרחובות לעיל באמצעות רהיטים וחפצים שונים. </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rtl/>
        </w:rPr>
        <w:t xml:space="preserve">עוד נטען, כי למקום הגיע המתלונן, שנהג ברכבו (להלן: </w:t>
      </w:r>
      <w:r>
        <w:rPr>
          <w:rFonts w:ascii="David" w:hAnsi="David"/>
          <w:b/>
          <w:bCs/>
          <w:rtl/>
        </w:rPr>
        <w:t>הרכב</w:t>
      </w:r>
      <w:r>
        <w:rPr>
          <w:rFonts w:ascii="David" w:hAnsi="David"/>
          <w:rtl/>
        </w:rPr>
        <w:t xml:space="preserve">), כאשר מטרתו היתה לבקר את אמו שהתגוררה סמוך למקום ההתקהלות. על הרכב היו תלויים דגלי ישראל שנתלו ביום העצמאות האחרון. כאשר המתלונן התקרב למקום, הוא הבחין במתפרעים, ניסה להימלט לאחור, אולם משום שאחד מהם התקרב לרכב וניסה לפתוח את הדלת ונוכח חסימת דרכו על ידי רכב אחר, המתלונן עצר את הרכב וניסה להימלט בנסיעה קדימה. </w:t>
      </w:r>
      <w:r>
        <w:rPr>
          <w:rFonts w:ascii="David" w:hAnsi="David"/>
          <w:u w:val="single"/>
          <w:rtl/>
        </w:rPr>
        <w:t>בשלב זה, ותוך שהרכב בנסיעה, המתפרעים יידו עשרות אבנים לעבר הרכב ופגעו בו במקומות שונים, לרבות בשמשה הקדמית. המתלונן ניסה להימלט מהמתפרעים והאיץ את מהירות נסיעתו, בעוד המתפרעים, בצוותא עם הנאשם, יידו לעבר רכבו אבנים נוספות ופגעו בו</w:t>
      </w:r>
      <w:r>
        <w:rPr>
          <w:rFonts w:ascii="David" w:hAnsi="David"/>
          <w:rtl/>
        </w:rPr>
        <w:t xml:space="preserve">. כתוצאה מפגיעת האבנים ברכב, במהלך הנסיעה קדימה איבד המתלונן שליטה על רכבו והתנגש בחומה תוך שפגע במוחמד א.ש., צעיר בשנות העשרים (להלן: </w:t>
      </w:r>
      <w:r>
        <w:rPr>
          <w:rFonts w:ascii="David" w:hAnsi="David"/>
          <w:b/>
          <w:bCs/>
          <w:rtl/>
        </w:rPr>
        <w:t>מוחמד</w:t>
      </w:r>
      <w:r>
        <w:rPr>
          <w:rFonts w:ascii="David" w:hAnsi="David"/>
          <w:rtl/>
        </w:rPr>
        <w:t xml:space="preserve">) שעמד בפינת הרחובות לעיל. עם עצירתו, עטו על הרכב עשרות מתפרעים, יידו אבנים והשליכו עליו רהיטים וחפצים שונים. </w:t>
      </w:r>
      <w:r>
        <w:rPr>
          <w:rFonts w:ascii="David" w:hAnsi="David"/>
          <w:u w:val="single"/>
          <w:rtl/>
        </w:rPr>
        <w:t>הנאשם נטל רגל של שולחן מעץ שמצא במקום, וניפץ באמצעותה את חלון הרכב האחורי</w:t>
      </w:r>
      <w:r>
        <w:rPr>
          <w:rFonts w:ascii="David" w:hAnsi="David"/>
          <w:rtl/>
        </w:rPr>
        <w:t xml:space="preserve">. המתלונן יצא מרכבו משום החשש לחייו והחל להימלט מהמקום. </w:t>
      </w:r>
      <w:r>
        <w:rPr>
          <w:rFonts w:ascii="David" w:hAnsi="David"/>
          <w:u w:val="single"/>
          <w:rtl/>
        </w:rPr>
        <w:t>עם יציאתו מהרכב, המתפרעים היכו אותו בצוותא באמצעות אלות מעץ ומוטות ברזל, יידו לעברו אבנים וחפצים שונים לרבות מגירות ארון מעץ, וכן היכו אותו באמצעות בעיטות ואגרופים</w:t>
      </w:r>
      <w:r>
        <w:rPr>
          <w:rFonts w:ascii="David" w:hAnsi="David"/>
          <w:rtl/>
        </w:rPr>
        <w:t xml:space="preserve">. המתלונן הספיק לרוץ מספר מטרים נוספים, אך אחד המתפרעים הפילו בבעיטה לקרקע. </w:t>
      </w:r>
      <w:r>
        <w:rPr>
          <w:rFonts w:ascii="David" w:hAnsi="David"/>
          <w:b/>
          <w:bCs/>
          <w:u w:val="single"/>
          <w:rtl/>
        </w:rPr>
        <w:t>בעודו שרוע על גבו, ניגשו אליו הנאשם ומתפרעים נוספים וחבטו בו מספר רב של פעמים בכל חלקי גופו באמצעות אלות, אבנים ובעיטות, והנאשם היכה אותו באמצעות רגל השולחן בראשו</w:t>
      </w:r>
      <w:r>
        <w:rPr>
          <w:rFonts w:ascii="David" w:hAnsi="David"/>
          <w:rtl/>
        </w:rPr>
        <w:t xml:space="preserve">. </w:t>
      </w:r>
      <w:r>
        <w:rPr>
          <w:rFonts w:ascii="David" w:hAnsi="David"/>
          <w:u w:val="single"/>
          <w:rtl/>
        </w:rPr>
        <w:t>האלימות נמשכה זמן ממושך והמתפרעים לא חדלו גם כאשר דם החל למלא את פניו של המתלונן והוא איבד את הכרתו</w:t>
      </w:r>
      <w:r>
        <w:rPr>
          <w:rFonts w:ascii="David" w:hAnsi="David"/>
          <w:rtl/>
        </w:rPr>
        <w:t xml:space="preserve">. בו בזמן, אחד המתפרעים הצית את הרכב, שנשרף כליל, תוך שהנאשם 3 שלהב את ההמון וצעק "הילד מת, הילד מת" כשהוא מתייחס למוחמד שנפצע מפגיעת הרכב, בזמן  שהאחרון כבר כמעט עמד על רגליו בתמיכת אחרים. </w:t>
      </w:r>
      <w:r>
        <w:rPr>
          <w:rFonts w:ascii="David" w:hAnsi="David"/>
          <w:rtl/>
        </w:rPr>
        <w:lastRenderedPageBreak/>
        <w:t xml:space="preserve">המתפרעים חדלו להכות את המתלונן רק לאחר שהגיע למקום השייח' עבאס זכור ודרש מהם לעשות כן. </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rtl/>
        </w:rPr>
        <w:t xml:space="preserve">נטען כי כתוצאה ממעשי הנאשם והמתפרעים המתלונן פונה לחדר הלם בבית החולים כשהוא במצב בינוני, ונגרמו לו שברים בעצמות האף, חתכים רבים בראשו, שבר בשיניים, המטומות תת עוריות באזור המוח, שלושה בלטי דיסק שהובילו לריתוקו לכיסא גלגלים למספר שבועות, שטפי דם ושפשופים רבים, והוא אושפז לשבעה ימים. </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rtl/>
        </w:rPr>
        <w:t>על בסיס הנטען לעיל, יוחסו לנאשם העבירות הבאות:</w:t>
      </w:r>
    </w:p>
    <w:p w:rsidR="00097EAE" w:rsidRDefault="00097EAE" w:rsidP="00097EAE">
      <w:pPr>
        <w:pStyle w:val="aa"/>
        <w:spacing w:after="0" w:line="360" w:lineRule="auto"/>
        <w:ind w:hanging="720"/>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ab/>
        <w:t>מעשה טרור של ניסיון רצח</w:t>
      </w:r>
      <w:r>
        <w:rPr>
          <w:rFonts w:ascii="David" w:hAnsi="David" w:cs="David"/>
          <w:sz w:val="24"/>
          <w:szCs w:val="24"/>
          <w:rtl/>
        </w:rPr>
        <w:t xml:space="preserve">, לפי סעיף 305(1) ו (2) לחוק העונשין, התשל"ז – 1977 (להלן: </w:t>
      </w:r>
      <w:r>
        <w:rPr>
          <w:rFonts w:ascii="David" w:hAnsi="David" w:cs="David"/>
          <w:b/>
          <w:bCs/>
          <w:sz w:val="24"/>
          <w:szCs w:val="24"/>
          <w:rtl/>
        </w:rPr>
        <w:t>החוק</w:t>
      </w:r>
      <w:r>
        <w:rPr>
          <w:rFonts w:ascii="David" w:hAnsi="David" w:cs="David"/>
          <w:sz w:val="24"/>
          <w:szCs w:val="24"/>
          <w:rtl/>
        </w:rPr>
        <w:t xml:space="preserve">) + סעיף 29 לחוק + סעיף 37 לחוק המאבק בטרור, התשע"ו – 2016 (להלן: </w:t>
      </w:r>
      <w:r>
        <w:rPr>
          <w:rFonts w:ascii="David" w:hAnsi="David" w:cs="David"/>
          <w:b/>
          <w:bCs/>
          <w:sz w:val="24"/>
          <w:szCs w:val="24"/>
          <w:rtl/>
        </w:rPr>
        <w:t>חוק המאבק בטרור</w:t>
      </w:r>
      <w:r>
        <w:rPr>
          <w:rFonts w:ascii="David" w:hAnsi="David" w:cs="David"/>
          <w:sz w:val="24"/>
          <w:szCs w:val="24"/>
          <w:rtl/>
        </w:rPr>
        <w:t xml:space="preserve">);  </w:t>
      </w:r>
    </w:p>
    <w:p w:rsidR="00097EAE" w:rsidRDefault="00097EAE" w:rsidP="00097EAE">
      <w:pPr>
        <w:pStyle w:val="aa"/>
        <w:spacing w:after="0" w:line="360" w:lineRule="auto"/>
        <w:ind w:hanging="720"/>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ab/>
        <w:t>מעשה טרור של יידוי אבן לעבר כלי תחבורה</w:t>
      </w:r>
      <w:r>
        <w:rPr>
          <w:rFonts w:ascii="David" w:hAnsi="David" w:cs="David"/>
          <w:sz w:val="24"/>
          <w:szCs w:val="24"/>
          <w:rtl/>
        </w:rPr>
        <w:t>, לפי סעיף 332א(ב) לחוק + סעיף 29 לחוק + סעיף 37 לחוק המאבק בטרור;</w:t>
      </w:r>
    </w:p>
    <w:p w:rsidR="00097EAE" w:rsidRDefault="00097EAE" w:rsidP="00097EAE">
      <w:pPr>
        <w:pStyle w:val="aa"/>
        <w:spacing w:after="0" w:line="360" w:lineRule="auto"/>
        <w:ind w:left="0"/>
        <w:jc w:val="both"/>
        <w:rPr>
          <w:rFonts w:ascii="David" w:hAnsi="David" w:cs="David"/>
          <w:sz w:val="24"/>
          <w:szCs w:val="24"/>
        </w:rPr>
      </w:pPr>
      <w:r>
        <w:rPr>
          <w:rFonts w:ascii="David" w:hAnsi="David" w:cs="David"/>
          <w:sz w:val="24"/>
          <w:szCs w:val="24"/>
          <w:rtl/>
        </w:rPr>
        <w:t>(-)</w:t>
      </w:r>
      <w:r>
        <w:rPr>
          <w:rFonts w:ascii="David" w:hAnsi="David" w:cs="David"/>
          <w:b/>
          <w:bCs/>
          <w:sz w:val="24"/>
          <w:szCs w:val="24"/>
          <w:rtl/>
        </w:rPr>
        <w:tab/>
        <w:t xml:space="preserve">חבלה במזיד ברכב ממניע גזעני, </w:t>
      </w:r>
      <w:r>
        <w:rPr>
          <w:rFonts w:ascii="David" w:hAnsi="David" w:cs="David"/>
          <w:sz w:val="24"/>
          <w:szCs w:val="24"/>
          <w:rtl/>
        </w:rPr>
        <w:t>לפי סעיף 413ה' בצירוף סעיף 144ו' + סעיף 29 לחוק;</w:t>
      </w:r>
    </w:p>
    <w:p w:rsidR="00097EAE" w:rsidRDefault="00097EAE" w:rsidP="00097EAE">
      <w:pPr>
        <w:pStyle w:val="aa"/>
        <w:spacing w:after="0" w:line="360" w:lineRule="auto"/>
        <w:ind w:left="0"/>
        <w:jc w:val="both"/>
        <w:rPr>
          <w:rFonts w:ascii="David" w:hAnsi="David" w:cs="David"/>
          <w:sz w:val="24"/>
          <w:szCs w:val="24"/>
        </w:rPr>
      </w:pPr>
      <w:r>
        <w:rPr>
          <w:rFonts w:ascii="David" w:hAnsi="David" w:cs="David"/>
          <w:sz w:val="24"/>
          <w:szCs w:val="24"/>
          <w:rtl/>
        </w:rPr>
        <w:t>(-)</w:t>
      </w:r>
      <w:r>
        <w:rPr>
          <w:rFonts w:ascii="David" w:hAnsi="David" w:cs="David"/>
          <w:b/>
          <w:bCs/>
          <w:sz w:val="24"/>
          <w:szCs w:val="24"/>
          <w:rtl/>
        </w:rPr>
        <w:tab/>
        <w:t>התפרעות</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לפי סעיף 152 + 29 לחוק.</w:t>
      </w:r>
      <w:r>
        <w:rPr>
          <w:rFonts w:ascii="David" w:hAnsi="David" w:cs="David"/>
          <w:b/>
          <w:bCs/>
          <w:sz w:val="24"/>
          <w:szCs w:val="24"/>
          <w:rtl/>
        </w:rPr>
        <w:t xml:space="preserve">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u w:val="single"/>
          <w:rtl/>
        </w:rPr>
      </w:pPr>
      <w:r>
        <w:rPr>
          <w:rFonts w:ascii="David" w:hAnsi="David" w:cs="David"/>
          <w:sz w:val="24"/>
          <w:szCs w:val="24"/>
          <w:u w:val="single"/>
          <w:rtl/>
        </w:rPr>
        <w:t xml:space="preserve">תמצית טענות הצדדים </w:t>
      </w:r>
    </w:p>
    <w:p w:rsidR="00097EAE" w:rsidRDefault="00097EAE" w:rsidP="00097EAE">
      <w:pPr>
        <w:pStyle w:val="aa"/>
        <w:numPr>
          <w:ilvl w:val="0"/>
          <w:numId w:val="7"/>
        </w:numPr>
        <w:spacing w:after="0" w:line="360" w:lineRule="auto"/>
        <w:ind w:left="0"/>
        <w:jc w:val="both"/>
        <w:rPr>
          <w:rFonts w:ascii="David" w:hAnsi="David" w:cs="David"/>
          <w:sz w:val="24"/>
          <w:szCs w:val="24"/>
          <w:u w:val="single"/>
          <w:rtl/>
        </w:rPr>
      </w:pPr>
      <w:r>
        <w:rPr>
          <w:rFonts w:ascii="David" w:hAnsi="David" w:cs="David"/>
          <w:sz w:val="24"/>
          <w:szCs w:val="24"/>
          <w:rtl/>
        </w:rPr>
        <w:t>כפי שכבר צוין לעיל, הנאשם אישר שנכח באירוע. יתר על כן, הוא אישר שהשליך אבנים לעבר רכב המתלונן כאשר זה עדיין היה בנסיעה; אישר כי היכה באמצעות מוט עץ (רגל של שולחן קפה) על  אחת משמשות הרכב לאחר שזה עצר; וכן אישר כי לאחר שהמתלונן נמלט מרכבו ולאחר שנפל על הארץ הוא (הנאשם) היכה בראשו באמצעות המוט לעיל.</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עם זאת, הנאשם כפר במרבית האישומים שיוחסו לו ובפרט בעבירת ניסיון הרצח שהוא מעשה טרור (ר' תשובות הנאשם מיום 25.11.21 ומיום 1.2.22). לשיטת הנאשם, לא היתה לו כוונה להמית את המתלונן ולכן אין מקום להרשיעו בניסיון רצח; הנאשם טען כי כוונת המתלונן היתה לדרוס את חבורת האנשים עליה נמנה גם הנאשם, ולא רק זאת אלא שהמתלונן אף הצליח בכך באופן חלקי, ולראיה – פגיעתו במוחמד; לחילופין, נטען כי וגם אם ייקבע שלא זו היתה כוונת המתלונן, ובמקום זאת ייקבע כי המתלונן רק ניסה להימלט מאלו שניסו לתקוף אותו, אזי מנקודת מבטו של הנאשם הוא הבין זאת באופן לעיל (היינו כפיגוע דריסה), וזאת על רקע הידיעות שנודעו לו באותם ימים על יהודים שמנסים להתנכל ולפגוע בערבים בעכו ומשום האופן שבו נהג, תרתי משמע, המתלונן לתוך קהל האנשים שעליהם נמנה הנאשם. הנאשם אישר שנטל רגל של שרפרף המשמש להגשת קפה, שמצא במקום, והיכה באמצעותה על אחת משמשות הרכב, שכבר היו מנופצות. נטען שרגל העץ הייתה "</w:t>
      </w:r>
      <w:r>
        <w:rPr>
          <w:rFonts w:ascii="David" w:hAnsi="David" w:cs="David"/>
          <w:b/>
          <w:bCs/>
          <w:sz w:val="24"/>
          <w:szCs w:val="24"/>
          <w:rtl/>
        </w:rPr>
        <w:t xml:space="preserve">קלת </w:t>
      </w:r>
      <w:r>
        <w:rPr>
          <w:rFonts w:ascii="David" w:hAnsi="David" w:cs="David"/>
          <w:b/>
          <w:bCs/>
          <w:sz w:val="24"/>
          <w:szCs w:val="24"/>
          <w:rtl/>
        </w:rPr>
        <w:lastRenderedPageBreak/>
        <w:t>משקל</w:t>
      </w:r>
      <w:r>
        <w:rPr>
          <w:rFonts w:ascii="David" w:hAnsi="David" w:cs="David"/>
          <w:sz w:val="24"/>
          <w:szCs w:val="24"/>
          <w:rtl/>
        </w:rPr>
        <w:t>". הנאשם הוסיף ואישר, כי לאחר שהמתלונן נמלט מהרכב הוא הוכה על ידי ההמון, וגם הוא (הנאשם) היכה את המתלונן "</w:t>
      </w:r>
      <w:r>
        <w:rPr>
          <w:rFonts w:ascii="David" w:hAnsi="David" w:cs="David"/>
          <w:b/>
          <w:bCs/>
          <w:sz w:val="24"/>
          <w:szCs w:val="24"/>
          <w:rtl/>
        </w:rPr>
        <w:t>מכה אחת באמצעות רגל השרפרף שמחמת טיבה ומשקלה לא מסוגלת לגרום לנזק ממשי לאדם לא כל שכן להמיתו</w:t>
      </w:r>
      <w:r>
        <w:rPr>
          <w:rFonts w:ascii="David" w:hAnsi="David" w:cs="David"/>
          <w:sz w:val="24"/>
          <w:szCs w:val="24"/>
          <w:rtl/>
        </w:rPr>
        <w:t xml:space="preserve">". בתשובה לאישום, הנאשם לא ציין שהמכה הייתה בראשו של המתלונן, אך נקדים ונציין כי כבר בחלק מחקירותיו וכן בעדותו לפנינו הוא אישר שהיכה </w:t>
      </w:r>
      <w:r>
        <w:rPr>
          <w:rFonts w:ascii="David" w:hAnsi="David" w:cs="David"/>
          <w:sz w:val="24"/>
          <w:szCs w:val="24"/>
          <w:u w:val="single"/>
          <w:rtl/>
        </w:rPr>
        <w:t>בראשו של המתלונן</w:t>
      </w:r>
      <w:r>
        <w:rPr>
          <w:rFonts w:ascii="David" w:hAnsi="David" w:cs="David"/>
          <w:sz w:val="24"/>
          <w:szCs w:val="24"/>
          <w:rtl/>
        </w:rPr>
        <w:t xml:space="preserve"> באמצעות המקל לעיל.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numPr>
          <w:ilvl w:val="0"/>
          <w:numId w:val="7"/>
        </w:numPr>
        <w:spacing w:after="0" w:line="360" w:lineRule="auto"/>
        <w:ind w:left="0"/>
        <w:jc w:val="both"/>
        <w:rPr>
          <w:rFonts w:ascii="David" w:hAnsi="David" w:cs="David"/>
          <w:sz w:val="24"/>
          <w:szCs w:val="24"/>
          <w:rtl/>
        </w:rPr>
      </w:pPr>
      <w:r>
        <w:rPr>
          <w:rFonts w:ascii="David" w:hAnsi="David" w:cs="David"/>
          <w:sz w:val="24"/>
          <w:szCs w:val="24"/>
          <w:rtl/>
        </w:rPr>
        <w:t>מנגד, עמדת המאשימה, בתמצית, היתה כי אין בסיס לטענה לעיל שהמתלונן התכוון או ניסה לדרוס מי מהמתפרעים. מדובר במי שניסה להגיע לבית אמו שהתגוררה בקרבת מקום משום דאגתו לה ועל רקע האירועים באותו יום. רק משום שרכבו הותקף והבהלה שאחזה בו, הוא איבד שליטה על רכבו ונהג את רכבו לכיוון הפורעים שהיו במקום וחסמו את הכביש. זאת ועוד, גם אם הנאשם סבר, סובייקטיבית, שהמתלונן ניסה לדרוס את מי מקהל האנשים ששהה במקום, אזי לאחר שהרכב נעצר והמתלונן נס על נפשו, לא היתה לנאשם כל סיבה להכותו, והאלימות שהנאשם נקט כלפי המתלונן – יחד עם יתר המתפרעים במקום - אינה אלא לינץ' אכזרי. זאת ועוד, נטען שיש להרשיע את הנאשם לא רק בגין מעשיו הפיסיים שלו, אלא גם כמבצע בצוותא, בהיותו חלק מהמון אלים שביקש לעשות שפטים במתלונן רק משום שהוא יהודי ועל רקע אירועי "שומר חומות".</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u w:val="single"/>
          <w:rtl/>
        </w:rPr>
      </w:pPr>
      <w:r>
        <w:rPr>
          <w:rFonts w:ascii="David" w:hAnsi="David" w:cs="David"/>
          <w:sz w:val="24"/>
          <w:szCs w:val="24"/>
          <w:u w:val="single"/>
          <w:rtl/>
        </w:rPr>
        <w:t xml:space="preserve">הצגת עיקר הראיות, דיון ומסקנות </w:t>
      </w:r>
    </w:p>
    <w:p w:rsidR="00097EAE" w:rsidRDefault="00097EAE" w:rsidP="00097EAE">
      <w:pPr>
        <w:pStyle w:val="aa"/>
        <w:numPr>
          <w:ilvl w:val="0"/>
          <w:numId w:val="7"/>
        </w:numPr>
        <w:spacing w:after="0" w:line="360" w:lineRule="auto"/>
        <w:ind w:left="0"/>
        <w:jc w:val="both"/>
        <w:rPr>
          <w:rFonts w:ascii="David" w:hAnsi="David" w:cs="David"/>
          <w:sz w:val="24"/>
          <w:szCs w:val="24"/>
          <w:rtl/>
        </w:rPr>
      </w:pPr>
      <w:r>
        <w:rPr>
          <w:rFonts w:ascii="David" w:hAnsi="David" w:cs="David"/>
          <w:sz w:val="24"/>
          <w:szCs w:val="24"/>
          <w:rtl/>
        </w:rPr>
        <w:t xml:space="preserve">הנאשם אישר בתשובתו לכתב האישום את התרחשות אירועי "שומר חומות" ואת גל ההתפרעויות האלימות שהיו על רקע לאומני-גזעני. </w:t>
      </w:r>
      <w:r>
        <w:rPr>
          <w:rFonts w:ascii="David" w:hAnsi="David" w:cs="David"/>
          <w:b/>
          <w:bCs/>
          <w:sz w:val="24"/>
          <w:szCs w:val="24"/>
          <w:rtl/>
        </w:rPr>
        <w:t>זהו הרקע הכללי שצריך לעמוד לנגד עיננו</w:t>
      </w:r>
      <w:r>
        <w:rPr>
          <w:rFonts w:ascii="David" w:hAnsi="David" w:cs="David"/>
          <w:sz w:val="24"/>
          <w:szCs w:val="24"/>
          <w:rtl/>
        </w:rPr>
        <w:t xml:space="preserve">. זאת ועוד, כחלק מראיות התביעה הוגשו סרטוני מצלמות האבטחה של עיריית עכו (ת/9), סרטוני מצלמות הגוף של רס"ב מישל עדי ממשטרת עכו (ת/7), וסרטונים נוספים שצולמו על ידי תושבי המקום. </w:t>
      </w:r>
    </w:p>
    <w:p w:rsidR="00097EAE" w:rsidRDefault="00097EAE" w:rsidP="00097EAE">
      <w:pPr>
        <w:pStyle w:val="aa"/>
        <w:spacing w:after="0" w:line="360" w:lineRule="auto"/>
        <w:ind w:left="0"/>
        <w:jc w:val="both"/>
        <w:rPr>
          <w:rFonts w:ascii="David" w:hAnsi="David" w:cs="David"/>
          <w:b/>
          <w:bCs/>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b/>
          <w:bCs/>
          <w:sz w:val="24"/>
          <w:szCs w:val="24"/>
          <w:rtl/>
        </w:rPr>
        <w:t>מהסרטונים עולה כי העיר עכו נראתה ביום הרלוונטי, ולו בחלקים מסוימים, כשדה קרב</w:t>
      </w:r>
      <w:r>
        <w:rPr>
          <w:rFonts w:ascii="David" w:hAnsi="David" w:cs="David"/>
          <w:sz w:val="24"/>
          <w:szCs w:val="24"/>
          <w:rtl/>
        </w:rPr>
        <w:t xml:space="preserve"> – כלי רכב הוצתו על ידי פורעי חוק, חבורות של רעולי פנים נעו ברחובות, כבישים נחסמו בפחי אשפה ובחפצים אחרים, וכוחות משטרה שניסו להשליט סדר בין היתר באמצעות רימוני גז לפיזור מתפרעים ובאמצעות מכתזיות, נעו מזירה לזירה.</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numPr>
          <w:ilvl w:val="0"/>
          <w:numId w:val="7"/>
        </w:numPr>
        <w:spacing w:after="0" w:line="360" w:lineRule="auto"/>
        <w:ind w:left="0"/>
        <w:jc w:val="both"/>
        <w:rPr>
          <w:rFonts w:ascii="David" w:hAnsi="David" w:cs="David"/>
          <w:sz w:val="24"/>
          <w:szCs w:val="24"/>
        </w:rPr>
      </w:pPr>
      <w:r>
        <w:rPr>
          <w:rFonts w:ascii="David" w:hAnsi="David" w:cs="David"/>
          <w:sz w:val="24"/>
          <w:szCs w:val="24"/>
          <w:rtl/>
        </w:rPr>
        <w:t xml:space="preserve">כעולה בבירור ממצלמות האבטחה של עיריית עכו (ת/9, ור' במיוחד מצלמות "וולפסון סר אייזיק מערב" בסביבות נומרטור 21:24:00 ואילך) בצומת הרחובות דרך הארבעה וסר אייזיק (כאמור, </w:t>
      </w:r>
      <w:r>
        <w:rPr>
          <w:rFonts w:ascii="David" w:hAnsi="David" w:cs="David"/>
          <w:b/>
          <w:bCs/>
          <w:sz w:val="24"/>
          <w:szCs w:val="24"/>
          <w:rtl/>
        </w:rPr>
        <w:t>הצומת</w:t>
      </w:r>
      <w:r>
        <w:rPr>
          <w:rFonts w:ascii="David" w:hAnsi="David" w:cs="David"/>
          <w:sz w:val="24"/>
          <w:szCs w:val="24"/>
          <w:rtl/>
        </w:rPr>
        <w:t xml:space="preserve">), כ 30 מטרים מבית אמו של המתלונן התקבצו עשרות רבות של גברים, מתפרעים, חלק גדול מהם רעולי פנים, וערמו במקום חפצים שונים, כמעין מחסומים. המתלונן הגיע ברכבו מכיכר המצויה עשרות מטרים צפונית לצומת (להלן: </w:t>
      </w:r>
      <w:r>
        <w:rPr>
          <w:rFonts w:ascii="David" w:hAnsi="David" w:cs="David"/>
          <w:b/>
          <w:bCs/>
          <w:sz w:val="24"/>
          <w:szCs w:val="24"/>
          <w:rtl/>
        </w:rPr>
        <w:t>הכיכר</w:t>
      </w:r>
      <w:r>
        <w:rPr>
          <w:rFonts w:ascii="David" w:hAnsi="David" w:cs="David"/>
          <w:sz w:val="24"/>
          <w:szCs w:val="24"/>
          <w:rtl/>
        </w:rPr>
        <w:t>).</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noProof/>
          <w:rtl/>
        </w:rPr>
        <w:lastRenderedPageBreak/>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5274310" cy="3920490"/>
            <wp:effectExtent l="0" t="0" r="2540" b="3810"/>
            <wp:wrapSquare wrapText="bothSides"/>
            <wp:docPr id="2" name="תמונה 2" descr="מפ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מפה"/>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3920490"/>
                    </a:xfrm>
                    <a:prstGeom prst="rect">
                      <a:avLst/>
                    </a:prstGeom>
                    <a:noFill/>
                  </pic:spPr>
                </pic:pic>
              </a:graphicData>
            </a:graphic>
            <wp14:sizeRelH relativeFrom="page">
              <wp14:pctWidth>0</wp14:pctWidth>
            </wp14:sizeRelH>
            <wp14:sizeRelV relativeFrom="page">
              <wp14:pctHeight>0</wp14:pctHeight>
            </wp14:sizeRelV>
          </wp:anchor>
        </w:drawing>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numPr>
          <w:ilvl w:val="0"/>
          <w:numId w:val="7"/>
        </w:numPr>
        <w:spacing w:after="0" w:line="360" w:lineRule="auto"/>
        <w:ind w:left="0"/>
        <w:jc w:val="both"/>
        <w:rPr>
          <w:rFonts w:ascii="David" w:hAnsi="David" w:cs="David"/>
          <w:sz w:val="24"/>
          <w:szCs w:val="24"/>
          <w:rtl/>
        </w:rPr>
      </w:pPr>
      <w:r>
        <w:rPr>
          <w:rFonts w:ascii="David" w:hAnsi="David" w:cs="David"/>
          <w:sz w:val="24"/>
          <w:szCs w:val="24"/>
          <w:rtl/>
        </w:rPr>
        <w:t xml:space="preserve">המתלונן, כבן 30 כיום, העיד ביום 27.2.22 ומסר את תיאורו לאירוע הקשה. </w:t>
      </w:r>
      <w:r>
        <w:rPr>
          <w:rFonts w:ascii="David" w:hAnsi="David" w:cs="David"/>
          <w:sz w:val="24"/>
          <w:szCs w:val="24"/>
          <w:u w:val="single"/>
          <w:rtl/>
        </w:rPr>
        <w:t>בעדותו הראשית</w:t>
      </w:r>
      <w:r>
        <w:rPr>
          <w:rFonts w:ascii="David" w:hAnsi="David" w:cs="David"/>
          <w:sz w:val="24"/>
          <w:szCs w:val="24"/>
          <w:rtl/>
        </w:rPr>
        <w:t xml:space="preserve"> תיאר כי במועד הרלוונטי הוא התגורר בחיפה וביום האירוע בשעות הערב ועל רקע ההתפרעויות, אמו, שהתגוררה אותה עת ברח' דרך הארבעה 45 בעכו התקשרה אליו וסיפרה לו שהיא שומעת קריאות "אללה הוא אכבר" ו "אטבח אל יהוד". בשיחה השתתף גם אחיו ב"שיחת וועידה". לאחר השיחה יצא המתלונן עם רכבו לכוון בית אמו. המתלונן תיאר כי כשהגיע לכניסה לעכו חלף על פני מחסום משטרתי, המשיך לכיוון בית אמו וראה בדרך התקהלויות של יהודים עם דגלי ישראל. גם רכבו שלו היה מעוטר בדגלי ישראל שנתלו שם ביום העצמאות. כאשר התקרב לבית אמו הוא שוחח בטלפון עם אחיו, ואת ההגעה לכיכר המתוארת במפה לעיל הוא תיאר כך:</w:t>
      </w:r>
    </w:p>
    <w:p w:rsidR="00097EAE" w:rsidRDefault="00097EAE" w:rsidP="00097EAE">
      <w:pPr>
        <w:pStyle w:val="aa"/>
        <w:spacing w:after="0" w:line="360" w:lineRule="auto"/>
        <w:ind w:left="0"/>
        <w:jc w:val="both"/>
        <w:rPr>
          <w:rFonts w:ascii="David" w:hAnsi="David" w:cs="David"/>
          <w:sz w:val="24"/>
          <w:szCs w:val="24"/>
        </w:rPr>
      </w:pPr>
      <w:r>
        <w:rPr>
          <w:rFonts w:ascii="David" w:hAnsi="David" w:cs="David"/>
          <w:sz w:val="24"/>
          <w:szCs w:val="24"/>
          <w:rtl/>
        </w:rPr>
        <w:t xml:space="preserve"> </w:t>
      </w: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 xml:space="preserve">...הגעתי בעצם לכיכר, ככר האיילים הזאתי, זה היה חמישים מטר בערך מהבית, הייתי עסוק בשיחה עם אחי וגם הסתכלתי על הכביש, לפתע אני רואה 200, לערך 200 מתפרעים, מחבלים שפשוט חלקם רעולי פנים. אני אומר לאחי, הולך לקרות משהו רע. בשלב הזה אני מנסה לנסוע אחורה, אני רואה שיש לי רכב מאחורה ואני לא מצליח לנסוע אחורה. מישהו מנסה כבר להוציא </w:t>
      </w:r>
      <w:r>
        <w:rPr>
          <w:rFonts w:ascii="David" w:hAnsi="David" w:cs="David"/>
          <w:b/>
          <w:bCs/>
          <w:sz w:val="24"/>
          <w:szCs w:val="24"/>
          <w:rtl/>
        </w:rPr>
        <w:lastRenderedPageBreak/>
        <w:t>אותי מהרכב בשלב הזה. אני מקבל אבנים על ה, על הרכב שלי פשוט</w:t>
      </w:r>
      <w:r>
        <w:rPr>
          <w:rFonts w:ascii="David" w:hAnsi="David" w:cs="David"/>
          <w:sz w:val="24"/>
          <w:szCs w:val="24"/>
          <w:rtl/>
        </w:rPr>
        <w:t xml:space="preserve">". (עמ' 32 לפרוטוקול, שורות 1-8). </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המתלונן המשיך ותיאר, כי בשלב זה אחד המתפרעים ניסה לפתוח את דלת הרכב, ללא הצלחה משום שהיתה נעולה, והוא החליט להמשיך לכיוון בית אמו אך תוך כדי הנסיעה איבד שליטה על הרכב משום מטר החפצים שהושלך לעברו:</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בשלב הזה כבר הבנתי שאני הולך להיות בלינץ' ולא התפרעות, הבנתי שזה הולך פשוט להיות לינץ', הבנתי שאין לי דרך לנסוע אחורה כי אני בכיכר, לנסוע אחורה זה לא משהו שאפשרי, זורקים עליי כבר אבנים. החלטתי שאני נס על נפשי, עושה הכל כדי להילחם על החיים שלי ומבין שאם אני עכשיו לא עושה משהו כדי להגיע כמה שיותר קרוב לבית של אמא שלי ששמה אנשים מכירים אותי, אני אומר על החיים שלי תודה ולהתראות. ... החלטתי לנסוע קדימה, ישר לכיוון הבית של אמא שלי, שזה ממש חמישים מטר. איבדתי שליטה עם כל האבנים, סלעים שזרקו עליי, ארוניות, הם פשוט היו בלי רחמים ..."</w:t>
      </w:r>
      <w:r>
        <w:rPr>
          <w:rFonts w:ascii="David" w:hAnsi="David" w:cs="David"/>
          <w:sz w:val="24"/>
          <w:szCs w:val="24"/>
          <w:rtl/>
        </w:rPr>
        <w:t xml:space="preserve"> (עמ' 32 לפרוטוקול, שורות 15-24). </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Pr>
      </w:pPr>
      <w:r>
        <w:rPr>
          <w:rFonts w:ascii="David" w:hAnsi="David" w:cs="David"/>
          <w:sz w:val="24"/>
          <w:szCs w:val="24"/>
          <w:rtl/>
        </w:rPr>
        <w:t xml:space="preserve">אין חולק שבשלב זה המתלונן האיץ את מהירות הרכב ולפני הפגיעה בחומה פגע עם רכבו באחד המתפרעים, הוא מוחמד. המתלונן מסר, כי בשלב זה המשיך מטר החפצים לעבר הרכב, הזגוגיות התנפצו, ולא רק זאת </w:t>
      </w:r>
      <w:r>
        <w:rPr>
          <w:rFonts w:ascii="David" w:hAnsi="David" w:cs="David"/>
          <w:sz w:val="24"/>
          <w:szCs w:val="24"/>
          <w:u w:val="single"/>
          <w:rtl/>
        </w:rPr>
        <w:t>אלא שהוא חשש שאם לא יברח מרכבו אזי הרכב יוצת כשהוא יושב בתוכו. נקדים ונציין, כי זמן קצר לאחר שהמתלונן נמלט מרכבו הרכב אכן הוצת</w:t>
      </w:r>
      <w:r>
        <w:rPr>
          <w:rFonts w:ascii="David" w:hAnsi="David" w:cs="David"/>
          <w:sz w:val="24"/>
          <w:szCs w:val="24"/>
          <w:rtl/>
        </w:rPr>
        <w:t xml:space="preserve">.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על תיאור חלקו השני של האירוע (הימלטות המתלונן מרכבו ותקיפתו על ידי ההמון כאשר היה מחוץ לרכב) נרחיב בהמשך; אך כעת נתמקד כאמור בסיבה שבעטיה האיץ המתלונן את נסיעת רכבו לכוון האנשים שחסמו את הצומת.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חלק ניכר </w:t>
      </w:r>
      <w:r>
        <w:rPr>
          <w:rFonts w:ascii="David" w:hAnsi="David" w:cs="David"/>
          <w:sz w:val="24"/>
          <w:szCs w:val="24"/>
          <w:u w:val="single"/>
          <w:rtl/>
        </w:rPr>
        <w:t>מהחקירה הנגדית</w:t>
      </w:r>
      <w:r>
        <w:rPr>
          <w:rFonts w:ascii="David" w:hAnsi="David" w:cs="David"/>
          <w:sz w:val="24"/>
          <w:szCs w:val="24"/>
          <w:rtl/>
        </w:rPr>
        <w:t xml:space="preserve"> הוקדש לטענה כי המתלונן ביקש לפגוע בהמון הערבי על רקע ההתפרעויות, ועל רקע עוינות כללית למגזר הערבי. בא כוח הנאשם הציג למתלונן סרטונים אליהם אתייחס בהמשך, מהם, על פי הנטען, כבר בכיכר (לפני הצומת) היה באפשרותו לנסוע לאחור ולחזור על עקבותיו, אך במקום זאת הוא בחר להמשיך לכוון הצומת ואל תוך ההמון. כתימוכין לטענותיו, הפנה בא כוח הנאשם לפרסומי המתלונן בפייסבוק ובהם התבטאויות כנגד הציבור הערבי לאורך השנים עד סמוך למועד האירוע.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המתלונן דחה בשתי ידיים את הטענות לעיל וחזר על דבריו שלא הייתה לו אפשרות ריאלית לנסוע בכיכר לאחור, משום רכב אחר שהיה מאחוריו. המתלונן הוסיף, כי אותה עת אחד המתפרעים ניסה </w:t>
      </w:r>
      <w:r>
        <w:rPr>
          <w:rFonts w:ascii="David" w:hAnsi="David" w:cs="David"/>
          <w:sz w:val="24"/>
          <w:szCs w:val="24"/>
          <w:rtl/>
        </w:rPr>
        <w:lastRenderedPageBreak/>
        <w:t xml:space="preserve">לפתוח את דלת רכבו. נתונים אלה הוליכו אותו להחלטה לנסות להגיע לחנייה שליד בית אמו משום שסבר שמדובר במקום יותר בטוח. המתלונן דחה מכל וכל את הטענה שמדובר היה בפגיעה מכוונת והוסיף כי אילו היה מגיע עם כוונות אלימות, היה באפשרותו להסיט את רכבו לעבר ההמון ולגרום לפגיעה ברבים (עמ' 42 לפרוטוקול, שורות 23-33; עמ' 43 שורות 28-32). הוא הוסיף, כי בשלב זה ולאחר שהחל בנסיעה הוא </w:t>
      </w:r>
      <w:r>
        <w:rPr>
          <w:rFonts w:ascii="David" w:hAnsi="David" w:cs="David"/>
          <w:sz w:val="24"/>
          <w:szCs w:val="24"/>
          <w:u w:val="single"/>
          <w:rtl/>
        </w:rPr>
        <w:t>איבד את השליטה על הרכב</w:t>
      </w:r>
      <w:r>
        <w:rPr>
          <w:rFonts w:ascii="David" w:hAnsi="David" w:cs="David"/>
          <w:sz w:val="24"/>
          <w:szCs w:val="24"/>
          <w:rtl/>
        </w:rPr>
        <w:t xml:space="preserve"> משום חפצים שנזרקו לעבר רכבו וכיוון שלא הבחין בדרך. לכן התנגש בחומה כשהוא אינו מודע לכך שפגע במוחמד (עמ' 66 לפרוטוקול, שורות 17-31).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לגבי התבטאויותיו בפייסבוק כנגד הציבור הערבי, השיב המתלונן כי חלקן מהעבר הרחוק (שנת 2013) והן אינן משקפות את עמדותיו כיום; ולגבי התבטאויות הסמוכות ליום האירוע (אם לפניו ואם לאחריו), הן לא כוונו כנגד כל הציבור הערבי אלא רק כנגד המתפרעים, או על רקע תקיפתו ובהיותו בסערת רגשות. בכל אופן, הוא הכחיש כי יש לו יחס שלילי כללי כנגד הציבור הערבי והדגיש כי מעשיו בזמן האירוע ונסיעתו לעבר הציבור שחסם את דרכו היו משום הסיבות שפורטו לעיל.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[בטרם נמשיך אעיר כי התבטאויות המתלונן בפייסבוק אליהן הפנה בא כוח הנאשם, הן פסולות ונפסדות ולא יכול להיות על כך חולק. עם זאת וכפי שאנמק להלן, לא היה להן כל קשר לאופן בו נהג המתלונן, תרתי משמע, באירוע עצמו].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numPr>
          <w:ilvl w:val="0"/>
          <w:numId w:val="7"/>
        </w:numPr>
        <w:spacing w:after="0" w:line="360" w:lineRule="auto"/>
        <w:ind w:left="0"/>
        <w:jc w:val="both"/>
        <w:rPr>
          <w:rFonts w:ascii="David" w:hAnsi="David" w:cs="David"/>
          <w:b/>
          <w:bCs/>
          <w:sz w:val="24"/>
          <w:szCs w:val="24"/>
          <w:rtl/>
        </w:rPr>
      </w:pPr>
      <w:r>
        <w:rPr>
          <w:rFonts w:ascii="David" w:hAnsi="David" w:cs="David"/>
          <w:b/>
          <w:bCs/>
          <w:sz w:val="24"/>
          <w:szCs w:val="24"/>
          <w:rtl/>
        </w:rPr>
        <w:t xml:space="preserve">נתתי אמון מלא בגרסת המתלונן, ויש לדחות מכל וכל את טענת ההגנה כי הוא ביקש לבצע "פיגוע דריסה".  </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Pr>
      </w:pPr>
      <w:r>
        <w:rPr>
          <w:rFonts w:ascii="David" w:hAnsi="David" w:cs="David"/>
          <w:sz w:val="24"/>
          <w:szCs w:val="24"/>
          <w:u w:val="single"/>
          <w:rtl/>
        </w:rPr>
        <w:t>ראשית</w:t>
      </w:r>
      <w:r>
        <w:rPr>
          <w:rFonts w:ascii="David" w:hAnsi="David" w:cs="David"/>
          <w:sz w:val="24"/>
          <w:szCs w:val="24"/>
          <w:rtl/>
        </w:rPr>
        <w:t>, גרסתו היתה אותנטית, מהימנה והגיונית. המתלונן מסר כי מטרתו היתה להגיע לבית אמו על רקע דאגתו לה ומשום הפרעות בעכו. האֵם כאמור התגוררה כ 30 מטרים מהצומת – הוא המקום בו התנגש רכב המתלונן בחומה והוא המקום בו הוקמו המתרסים לעיל ובו שהו עשרות אנשים, חלקם הגדול רעולי פנים. קשה להלום כי בנסיבות כאלה (ובכלל!) יחליט המתלונן לבצע "פיגוע דריסה";</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Arial" w:eastAsia="Times New Roman" w:hAnsi="Arial" w:cs="David"/>
          <w:b/>
          <w:bCs/>
          <w:sz w:val="24"/>
          <w:szCs w:val="24"/>
          <w:rtl/>
          <w:lang w:eastAsia="he-IL"/>
        </w:rPr>
      </w:pPr>
      <w:r>
        <w:rPr>
          <w:rFonts w:ascii="David" w:hAnsi="David" w:cs="David"/>
          <w:sz w:val="24"/>
          <w:szCs w:val="24"/>
          <w:u w:val="single"/>
          <w:rtl/>
        </w:rPr>
        <w:t>שנית</w:t>
      </w:r>
      <w:r>
        <w:rPr>
          <w:rFonts w:ascii="David" w:hAnsi="David" w:cs="David"/>
          <w:sz w:val="24"/>
          <w:szCs w:val="24"/>
          <w:rtl/>
        </w:rPr>
        <w:t>, אמרות האֵם הוגשו בהסכמה (ת/76-ת/77) ועולה כי היא ציפתה להגעת בנה; ולא רק זאת, אלא שמעדות אחיו של המתלונן, שהיה עמו בקשר טלפוני רצוף כל אותה עת, עלה באופן ברור כי המתלונן תיאר לאחיו "בזמן אמת" את הסיטואציה אליה נקלע, והאחרון ייעץ למתלונן להמשיך ולנסוע לכיוון בית האם ולא לעצור. האח תיאר כי בעת שהמתלונן היה בנסיעה, המתלונן אמר לו "</w:t>
      </w:r>
      <w:r>
        <w:rPr>
          <w:rFonts w:ascii="David" w:hAnsi="David" w:cs="David"/>
          <w:b/>
          <w:bCs/>
          <w:sz w:val="24"/>
          <w:szCs w:val="24"/>
          <w:rtl/>
        </w:rPr>
        <w:t>אלרועי, קורה משהו, מתגודדים סביבי ערבים</w:t>
      </w:r>
      <w:r>
        <w:rPr>
          <w:rFonts w:ascii="David" w:hAnsi="David" w:cs="David"/>
          <w:sz w:val="24"/>
          <w:szCs w:val="24"/>
          <w:rtl/>
        </w:rPr>
        <w:t>" ברקע נשמעו זכוכיות מתנפצות וזעקות המתלונן לעזרה. העד המשיך ותיאר את האירוע כך: "</w:t>
      </w:r>
      <w:r>
        <w:rPr>
          <w:rFonts w:ascii="Arial" w:eastAsia="Times New Roman" w:hAnsi="Arial" w:cs="David"/>
          <w:b/>
          <w:bCs/>
          <w:sz w:val="24"/>
          <w:szCs w:val="24"/>
          <w:rtl/>
          <w:lang w:eastAsia="he-IL"/>
        </w:rPr>
        <w:t xml:space="preserve">צעקתי לו 'מור, תלחץ על הגז. לא משנה מה יהיה אל תעזוב את הגז. תלחץ על הגז'. לאחר כמה שניות שמעתי ממש חבטה גדולה, בדיעבד זה הרכב שלו שהתנגש בחומה, </w:t>
      </w:r>
      <w:r>
        <w:rPr>
          <w:rFonts w:ascii="Arial" w:eastAsia="Times New Roman" w:hAnsi="Arial" w:cs="David"/>
          <w:b/>
          <w:bCs/>
          <w:sz w:val="24"/>
          <w:szCs w:val="24"/>
          <w:rtl/>
          <w:lang w:eastAsia="he-IL"/>
        </w:rPr>
        <w:lastRenderedPageBreak/>
        <w:t xml:space="preserve">לאחר שראיתי את הסרטון על ידי זה הבנתי מה שמעתי.." </w:t>
      </w:r>
      <w:r>
        <w:rPr>
          <w:rFonts w:ascii="Arial" w:eastAsia="Times New Roman" w:hAnsi="Arial" w:cs="David"/>
          <w:sz w:val="24"/>
          <w:szCs w:val="24"/>
          <w:rtl/>
          <w:lang w:eastAsia="he-IL"/>
        </w:rPr>
        <w:t>(עדות האח מיום 20.2.22, עמ' 24 לפרוטוקול, שורות 10-16).</w:t>
      </w:r>
      <w:r>
        <w:rPr>
          <w:rFonts w:ascii="Arial" w:eastAsia="Times New Roman" w:hAnsi="Arial" w:cs="David"/>
          <w:b/>
          <w:bCs/>
          <w:sz w:val="24"/>
          <w:szCs w:val="24"/>
          <w:rtl/>
          <w:lang w:eastAsia="he-IL"/>
        </w:rPr>
        <w:t xml:space="preserve"> </w:t>
      </w:r>
      <w:r>
        <w:rPr>
          <w:rFonts w:ascii="Arial" w:eastAsia="Times New Roman" w:hAnsi="Arial" w:cs="David"/>
          <w:sz w:val="24"/>
          <w:szCs w:val="24"/>
          <w:rtl/>
          <w:lang w:eastAsia="he-IL"/>
        </w:rPr>
        <w:t>יוער, כי המתלונן עצמו לא זכר את השיחה לעיל שהתקיימה שניות ספורות לפני שהותקף קשות, וזאת – יש להניח – משום הטראומה שחווה. בכל אופן, נתתי אמון בדברי האח וזאת חרף טענות ההגנה לאי דיוקים כאלה ואחרים (מתי בדיוק שמע את החבטות ברכב וכו'). החשוב הוא שאל בּלִיל הנתונים המלחיצים אליהם נקלע המתלונן, היה נתון נוסף והוא המלצת אחיו להמשיך ולנסוע לכיוון בית האם מתוך מטרה להצילו, ולא לאף מטרה אחת, וודאי לא ביצוע פיגוע דריסה;</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u w:val="single"/>
          <w:rtl/>
        </w:rPr>
        <w:t>שלישית</w:t>
      </w:r>
      <w:r>
        <w:rPr>
          <w:rFonts w:ascii="David" w:hAnsi="David" w:cs="David"/>
          <w:sz w:val="24"/>
          <w:szCs w:val="24"/>
          <w:rtl/>
        </w:rPr>
        <w:t>, אפנה לסרטון שצולם בטלפון הסלולארי של העדה נ'. מדובר בתושבת עכו שהתגוררה במועד הרלוונטי בדרך הארבעה, וילדיה צילמו בטלפון הסלולארי שלה 2 סרטונים מחלון דירתם  (ת/30, הוגש בהסכמה כאמור בפרוטוקול מיום 20.2.22, עמ' 37). מהסרטון הרלוונטי (13.27.44), עולים הנתונים הבאים:</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w:t>
      </w:r>
      <w:r>
        <w:rPr>
          <w:rFonts w:ascii="David" w:hAnsi="David" w:cs="David"/>
          <w:sz w:val="24"/>
          <w:szCs w:val="24"/>
          <w:rtl/>
        </w:rPr>
        <w:tab/>
        <w:t xml:space="preserve">עוד טרם הגעת רכב המתלונן (מונה 00:00:05 עד 00:00:10 כאשר הטלפון מכוון דרומה) ניתן להבחין </w:t>
      </w:r>
      <w:r>
        <w:rPr>
          <w:rFonts w:ascii="David" w:hAnsi="David" w:cs="David"/>
          <w:sz w:val="24"/>
          <w:szCs w:val="24"/>
          <w:u w:val="single"/>
          <w:rtl/>
        </w:rPr>
        <w:t>בצומת</w:t>
      </w:r>
      <w:r>
        <w:rPr>
          <w:rFonts w:ascii="David" w:hAnsi="David" w:cs="David"/>
          <w:sz w:val="24"/>
          <w:szCs w:val="24"/>
          <w:rtl/>
        </w:rPr>
        <w:t xml:space="preserve"> בהתקהלות המתפרעים ברחוב, חלקם רעולי פנים וחלקם אוחזים בידם בחפצים שונים, מקימים מחסומים מאולתרים לרוחב הכביש;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w:t>
      </w:r>
      <w:r>
        <w:rPr>
          <w:rFonts w:ascii="David" w:hAnsi="David" w:cs="David"/>
          <w:sz w:val="24"/>
          <w:szCs w:val="24"/>
          <w:rtl/>
        </w:rPr>
        <w:tab/>
        <w:t xml:space="preserve">במונה 00:00:05 עד 00:00:07 כאשר המצלמה מוסטת צפונה לכיוון הכיכר, מבחינים </w:t>
      </w:r>
      <w:r>
        <w:rPr>
          <w:rFonts w:ascii="David" w:hAnsi="David" w:cs="David"/>
          <w:sz w:val="24"/>
          <w:szCs w:val="24"/>
          <w:u w:val="single"/>
          <w:rtl/>
        </w:rPr>
        <w:t>ברכב המתלונן מגיע מכיוון צפון לדרום, תוך שחלק מהמתפרעים רצים לעברו ומשליכים לעברו חפצים</w:t>
      </w:r>
      <w:r>
        <w:rPr>
          <w:rFonts w:ascii="David" w:hAnsi="David" w:cs="David"/>
          <w:sz w:val="24"/>
          <w:szCs w:val="24"/>
          <w:rtl/>
        </w:rPr>
        <w:t xml:space="preserve">;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w:t>
      </w:r>
      <w:r>
        <w:rPr>
          <w:rFonts w:ascii="David" w:hAnsi="David" w:cs="David"/>
          <w:sz w:val="24"/>
          <w:szCs w:val="24"/>
          <w:rtl/>
        </w:rPr>
        <w:tab/>
        <w:t xml:space="preserve">במונה 00:00:07 עד 00:00:10 </w:t>
      </w:r>
      <w:r>
        <w:rPr>
          <w:rFonts w:ascii="David" w:hAnsi="David" w:cs="David"/>
          <w:sz w:val="24"/>
          <w:szCs w:val="24"/>
          <w:u w:val="single"/>
          <w:rtl/>
        </w:rPr>
        <w:t>רכב המתלונן נוסע מספר מטרים אחורנית חזרה לכיכר, תוך שניתן להבחין ברכב לבן, שהיה מאחורי רכב המתלונן, פונה שמאלה בכיכר</w:t>
      </w:r>
      <w:r>
        <w:rPr>
          <w:rFonts w:ascii="David" w:hAnsi="David" w:cs="David"/>
          <w:sz w:val="24"/>
          <w:szCs w:val="24"/>
          <w:rtl/>
        </w:rPr>
        <w:t xml:space="preserve">;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w:t>
      </w:r>
      <w:r>
        <w:rPr>
          <w:rFonts w:ascii="David" w:hAnsi="David" w:cs="David"/>
          <w:sz w:val="24"/>
          <w:szCs w:val="24"/>
          <w:rtl/>
        </w:rPr>
        <w:tab/>
        <w:t>במונה 00:00:10 עד 00:00:14 רכב המתלונן נעצר לרגע ואז האיץ לכיוון מקום ההתקהלות;</w:t>
      </w:r>
      <w:r>
        <w:rPr>
          <w:rFonts w:ascii="David" w:hAnsi="David" w:cs="David"/>
          <w:sz w:val="24"/>
          <w:szCs w:val="24"/>
          <w:u w:val="single"/>
          <w:rtl/>
        </w:rPr>
        <w:t xml:space="preserve"> כאשר במקביל לכך אחד המתפרעים (לבוש חולצה בהירה) ניגש לעבר דלת הנהג; כמו כן לפחות עוד 7 מתפרעים רצים לעבר הרכב תוך שחלקם משליכים לעברו חפצים</w:t>
      </w:r>
      <w:r>
        <w:rPr>
          <w:rFonts w:ascii="David" w:hAnsi="David" w:cs="David"/>
          <w:sz w:val="24"/>
          <w:szCs w:val="24"/>
          <w:rtl/>
        </w:rPr>
        <w:t>. ניתן לשמוע בבירור את קולות פגיעות החפצים ברכב;</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w:t>
      </w:r>
      <w:r>
        <w:rPr>
          <w:rFonts w:ascii="David" w:hAnsi="David" w:cs="David"/>
          <w:sz w:val="24"/>
          <w:szCs w:val="24"/>
          <w:rtl/>
        </w:rPr>
        <w:tab/>
        <w:t>במונה 00:00:14 עד 00:00:20 מבחינים ברכב המתלונן, שבצדיו תלויים דגלי ישראל, מאיץ לכיוון המחסום המאולתר, סוטה ימינה, פוגע במוחמד עם החלק הקדמי ימני של חזית הרכב ומיד לאחר מכן התנגש בחומה;</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u w:val="single"/>
          <w:rtl/>
        </w:rPr>
        <w:t>רביעית</w:t>
      </w:r>
      <w:r>
        <w:rPr>
          <w:rFonts w:ascii="David" w:hAnsi="David" w:cs="David"/>
          <w:sz w:val="24"/>
          <w:szCs w:val="24"/>
          <w:rtl/>
        </w:rPr>
        <w:t xml:space="preserve">, מעבר לסרטונים לעיל, מסרה העדה נ' (ר' עדותה מיום 27.2.22) כי כשרכב המתלונן הגיע היא שמעה שהמתפרעים צעקו שמדובר ביהודי. העדה אף אישרה את דבריה עת נחקרה במשטרה, שם </w:t>
      </w:r>
      <w:r>
        <w:rPr>
          <w:rFonts w:ascii="David" w:hAnsi="David" w:cs="David"/>
          <w:sz w:val="24"/>
          <w:szCs w:val="24"/>
          <w:rtl/>
        </w:rPr>
        <w:lastRenderedPageBreak/>
        <w:t>מסרה כי המתפרעים אמרו "</w:t>
      </w:r>
      <w:r>
        <w:rPr>
          <w:rFonts w:ascii="David" w:hAnsi="David" w:cs="David"/>
          <w:b/>
          <w:bCs/>
          <w:sz w:val="24"/>
          <w:szCs w:val="24"/>
          <w:rtl/>
        </w:rPr>
        <w:t>תגיעו תגיעו, יאללה נשרוף, אנחנו רוצים להרוג יהודים, זה יהודי, זה יהודי, בוא נהרוג אותו</w:t>
      </w:r>
      <w:r>
        <w:rPr>
          <w:rFonts w:ascii="David" w:hAnsi="David" w:cs="David"/>
          <w:sz w:val="24"/>
          <w:szCs w:val="24"/>
          <w:rtl/>
        </w:rPr>
        <w:t>" (עמ' 71 לפרוטוקול, שורות 20-28). זאת ועוד, העדה הוסיפה כי כאשר המתלונן הגיע, הצעירים "</w:t>
      </w:r>
      <w:r>
        <w:rPr>
          <w:rFonts w:ascii="David" w:hAnsi="David" w:cs="David"/>
          <w:b/>
          <w:bCs/>
          <w:sz w:val="24"/>
          <w:szCs w:val="24"/>
          <w:rtl/>
        </w:rPr>
        <w:t>התאספו והלכו לכיוונו, הוא פחד ולא הייתה לו אפשרות לחזור אחורה כי כולם התאספו מסביב לרכב. ואז לא הייתה לו אפשרות ואז הוא נתן גז ודרס את הילד. אני מניחה שעשה את זה כי פחד</w:t>
      </w:r>
      <w:r>
        <w:rPr>
          <w:rFonts w:ascii="David" w:hAnsi="David" w:cs="David"/>
          <w:sz w:val="24"/>
          <w:szCs w:val="24"/>
          <w:rtl/>
        </w:rPr>
        <w:t xml:space="preserve">" (עמוד 72 לפרוטוקול, שורות 16-20); דברי העדה אודות הדברים שקלטה בחושיה לא נסתרו ואני נותן בהם אמון. גם הערכתה לסיבות שהביאו את המתלונן לנהוג כפי שנהג (הגם שאיני נזקק לה בשים לב למכלול ראיות רחב) היא נכונה;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numPr>
          <w:ilvl w:val="0"/>
          <w:numId w:val="7"/>
        </w:numPr>
        <w:spacing w:after="0" w:line="360" w:lineRule="auto"/>
        <w:ind w:left="0"/>
        <w:jc w:val="both"/>
        <w:rPr>
          <w:rFonts w:ascii="David" w:hAnsi="David" w:cs="David"/>
          <w:sz w:val="24"/>
          <w:szCs w:val="24"/>
          <w:rtl/>
        </w:rPr>
      </w:pPr>
      <w:r>
        <w:rPr>
          <w:rFonts w:ascii="David" w:hAnsi="David" w:cs="David"/>
          <w:b/>
          <w:bCs/>
          <w:sz w:val="24"/>
          <w:szCs w:val="24"/>
          <w:rtl/>
        </w:rPr>
        <w:t>כלל הנתונים לעיל ובמיוחד הסרטון לעיל, מדגישים מדוע יש לאמץ את גרסת המתלונן ומדוע יש לדחות את טענת הנאשם</w:t>
      </w:r>
      <w:r>
        <w:rPr>
          <w:rFonts w:ascii="David" w:hAnsi="David" w:cs="David"/>
          <w:sz w:val="24"/>
          <w:szCs w:val="24"/>
          <w:rtl/>
        </w:rPr>
        <w:t xml:space="preserve">. במיוחד אפנה לנתונים העולים מהסרטון לעיל, שהגם שהוא אינו נותן תמונה מלאה (משום תזוזת מכשיר הטלפון) </w:t>
      </w:r>
      <w:r>
        <w:rPr>
          <w:rFonts w:ascii="David" w:hAnsi="David" w:cs="David"/>
          <w:sz w:val="24"/>
          <w:szCs w:val="24"/>
          <w:u w:val="single"/>
          <w:rtl/>
        </w:rPr>
        <w:t>מבהיר כי כבר עם הגעת רכב המתלונן לכיכר, עשרות מטרים מהצומת שם שהו מרבית המתפרעים, הוא כבר משך את "תשומת לב" המתפרעים, ככל הנראה משום דגלי ישראל שהיו תלויים עליו</w:t>
      </w:r>
      <w:r>
        <w:rPr>
          <w:rFonts w:ascii="David" w:hAnsi="David" w:cs="David"/>
          <w:sz w:val="24"/>
          <w:szCs w:val="24"/>
          <w:rtl/>
        </w:rPr>
        <w:t xml:space="preserve">. </w:t>
      </w:r>
      <w:r>
        <w:rPr>
          <w:rFonts w:ascii="David" w:hAnsi="David" w:cs="David"/>
          <w:sz w:val="24"/>
          <w:szCs w:val="24"/>
          <w:u w:val="single"/>
          <w:rtl/>
        </w:rPr>
        <w:t>במלים אחרות, כבר עם הגעת הרכב לכיכר ולפני שהמתלונן החל (וליתר דיוק – המשיך) בנסיעתו, החלו חלק מהמתפרעים לרוץ לעבר הרכב, להקיפו וחלקם אף ניסו לפתוח את דלת הנהג</w:t>
      </w:r>
      <w:r>
        <w:rPr>
          <w:rFonts w:ascii="David" w:hAnsi="David" w:cs="David"/>
          <w:sz w:val="24"/>
          <w:szCs w:val="24"/>
          <w:rtl/>
        </w:rPr>
        <w:t xml:space="preserve">. זאת ועוד, גרסת המתלונן כי היה רכב מאחוריו שלשיטתו הפריע לו לנסוע לאחור זוכה לחיזוק בסרטון (הרכב הלבן במונה 00:00:07). </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אכן, באם "מנטרלים" את ההמון הזועם שעט על הרכב כמתואר לעיל, ייתכן שלא היתה מניעה "טכנית" מצד המתלונן לנסוע לאחור (לאחר חליפת הרכב הלבן) או לפנות שמאלה. עם זאת ברור ש"נטרול" זה, כפי שהוצע באופן מלאכותי על ידי ההגנה, חוטא לאמת ולמצב המורכב והמלחיץ עד מאוד בו היה נתון המתלונן, שבחר – בחירה אומללה מבחינתו אין ספק – להמשיך ולנסוע ישר, הישר אל תוך ההמון הזועם.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מעבר לנתונים העולים מהסרטון לעיל, אפנה לדברים שמסרה העדה נ' המדברים בעד עצמם בדבר הלך הרוח של לפחות חלק מההמון. לכן וכפי שקבעתי לעיל, אין ממש בטענת הנאשם כי המתלונן נסע סמוך לצומת כשכוונתו לבצע פיגוע דריסה.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אעיר, שלא התעלמתי מטענות נוספות של ההגנה בהקשר זה. כך למשל נטען כי גם לאחר שרכב המתלונן פגע בחומה השמשה הקדמית של הרכב נותרה שלמה. ההגנה הפנתה לתצלום מתוך סרטון "מס' 2" אליו אתייחס להלן (ר' עמ' 10 לסיכומי הנאשם). ואולם, עיון בסרטון מעלה, ולו על פני הדברים, כי השמשה בהחלט ניזוקה כתוצאה מפגיעת חפצים. שמשות רכב הן רב שכבתיות וגם כשהן ניזוקות מפגיעה, הן נותרות על מקומן אך נוצרים שברי "קורי עכביש" המקשים על הראות. אף בהתעלם מהאמור לעיל, המתלונן מסר גרסה כוללת ולפיה נוכח מטר האבנים והחפצים שהוטח לעבר </w:t>
      </w:r>
      <w:r>
        <w:rPr>
          <w:rFonts w:ascii="David" w:hAnsi="David" w:cs="David"/>
          <w:sz w:val="24"/>
          <w:szCs w:val="24"/>
          <w:rtl/>
        </w:rPr>
        <w:lastRenderedPageBreak/>
        <w:t xml:space="preserve">רכבו, הוא בחר להמשיך בנסיעה קדימה, איבד שליטה על הרכב, וההמשך כמתואר לעיל, ולא ייחס את איבוד השליטה רק לניפוץ השמשה הקדמית. </w:t>
      </w:r>
    </w:p>
    <w:p w:rsidR="00097EAE" w:rsidRDefault="00097EAE" w:rsidP="00097EAE">
      <w:pPr>
        <w:spacing w:line="360" w:lineRule="auto"/>
        <w:jc w:val="both"/>
        <w:rPr>
          <w:rFonts w:ascii="David" w:hAnsi="David"/>
        </w:rPr>
      </w:pPr>
    </w:p>
    <w:p w:rsidR="00097EAE" w:rsidRDefault="00097EAE" w:rsidP="00097EAE">
      <w:pPr>
        <w:pStyle w:val="aa"/>
        <w:numPr>
          <w:ilvl w:val="0"/>
          <w:numId w:val="7"/>
        </w:numPr>
        <w:spacing w:after="0" w:line="360" w:lineRule="auto"/>
        <w:ind w:left="0"/>
        <w:jc w:val="both"/>
        <w:rPr>
          <w:rFonts w:ascii="David" w:hAnsi="David" w:cs="David"/>
          <w:sz w:val="24"/>
          <w:szCs w:val="24"/>
          <w:rtl/>
        </w:rPr>
      </w:pPr>
      <w:r>
        <w:rPr>
          <w:rFonts w:ascii="David" w:hAnsi="David" w:cs="David"/>
          <w:b/>
          <w:bCs/>
          <w:sz w:val="24"/>
          <w:szCs w:val="24"/>
          <w:rtl/>
        </w:rPr>
        <w:t>נמשיך בתיאור האירוע</w:t>
      </w:r>
      <w:r>
        <w:rPr>
          <w:rFonts w:ascii="David" w:hAnsi="David" w:cs="David"/>
          <w:sz w:val="24"/>
          <w:szCs w:val="24"/>
          <w:rtl/>
        </w:rPr>
        <w:t xml:space="preserve">. תחילתו של האירוע, </w:t>
      </w:r>
      <w:r>
        <w:rPr>
          <w:rFonts w:ascii="David" w:hAnsi="David" w:cs="David"/>
          <w:b/>
          <w:bCs/>
          <w:sz w:val="24"/>
          <w:szCs w:val="24"/>
          <w:rtl/>
        </w:rPr>
        <w:t>שאינו אלא לינץ'</w:t>
      </w:r>
      <w:r>
        <w:rPr>
          <w:rFonts w:ascii="David" w:hAnsi="David" w:cs="David"/>
          <w:sz w:val="24"/>
          <w:szCs w:val="24"/>
          <w:rtl/>
        </w:rPr>
        <w:t xml:space="preserve">, תואר לעיל והפניתי לכך כי כאשר המתלונן הגיע עם רכבו לכיכר החל מספר לא קטן של מתפרעים לרוץ לעבר הרכב, התקרב לרכב, חלק מהם ניסו לפתוח את דלתות הרכב, ובשלב בו החל המתלונן בנסיעה קדימה לעבר הצומת הוטח לעבר הרכב מטר של חפצים, עד שהמתלונן איבד שליטה על הרכב, פגע במוחמד ומיד לאחר מכן בחומה בפינה הדרומית-מערבית של הצומת. </w:t>
      </w:r>
      <w:r>
        <w:rPr>
          <w:rFonts w:ascii="David" w:hAnsi="David" w:cs="David"/>
          <w:b/>
          <w:bCs/>
          <w:sz w:val="24"/>
          <w:szCs w:val="24"/>
          <w:rtl/>
        </w:rPr>
        <w:t>המשכו של האירוע הוכח בראיות הבאות</w:t>
      </w:r>
      <w:r>
        <w:rPr>
          <w:rFonts w:ascii="David" w:hAnsi="David" w:cs="David"/>
          <w:sz w:val="24"/>
          <w:szCs w:val="24"/>
          <w:rtl/>
        </w:rPr>
        <w:t>:</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Pr>
      </w:pPr>
      <w:r>
        <w:rPr>
          <w:rFonts w:ascii="David" w:hAnsi="David" w:cs="David"/>
          <w:b/>
          <w:bCs/>
          <w:sz w:val="24"/>
          <w:szCs w:val="24"/>
          <w:u w:val="single"/>
          <w:rtl/>
        </w:rPr>
        <w:t>ראשית</w:t>
      </w:r>
      <w:r>
        <w:rPr>
          <w:rFonts w:ascii="David" w:hAnsi="David" w:cs="David"/>
          <w:b/>
          <w:bCs/>
          <w:sz w:val="24"/>
          <w:szCs w:val="24"/>
          <w:rtl/>
        </w:rPr>
        <w:t>, בעדות המתלונן</w:t>
      </w:r>
      <w:r>
        <w:rPr>
          <w:rFonts w:ascii="David" w:hAnsi="David" w:cs="David"/>
          <w:sz w:val="24"/>
          <w:szCs w:val="24"/>
          <w:rtl/>
        </w:rPr>
        <w:t>. קטענו לעיל את התיאור שמסר המתלונן בשלב בו תיאר את נסיעתו לעבר בית אמו. נמשיך כעת מהשלב שלאחר פגיעת רכבו בחומה. וכך מסר:</w:t>
      </w:r>
    </w:p>
    <w:p w:rsidR="00097EAE" w:rsidRDefault="00097EAE" w:rsidP="00097EAE">
      <w:pPr>
        <w:pStyle w:val="aa"/>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 xml:space="preserve">בדיעבד אני מבין שזה המעשה הכי נכון שעשיתי </w:t>
      </w:r>
      <w:r>
        <w:rPr>
          <w:rFonts w:ascii="David" w:hAnsi="David" w:cs="David"/>
          <w:sz w:val="24"/>
          <w:szCs w:val="24"/>
          <w:rtl/>
        </w:rPr>
        <w:t>(יציאתו מהרכב – י.ל.)</w:t>
      </w:r>
      <w:r>
        <w:rPr>
          <w:rFonts w:ascii="David" w:hAnsi="David" w:cs="David"/>
          <w:b/>
          <w:bCs/>
          <w:sz w:val="24"/>
          <w:szCs w:val="24"/>
          <w:rtl/>
        </w:rPr>
        <w:t xml:space="preserve"> כי שרפו לי את האוטו מיד אחרי, ממש שתי שניות אחרי. פשוט לקחתי את הטלפון ביחד איתי וכל העת הזאת אחי איתי בטלפון ואני לא יודע כי פשוט התנתקתי איתו מהשיחה</w:t>
      </w:r>
      <w:r>
        <w:rPr>
          <w:rFonts w:ascii="David" w:hAnsi="David" w:cs="David"/>
          <w:sz w:val="24"/>
          <w:szCs w:val="24"/>
          <w:rtl/>
        </w:rPr>
        <w:t xml:space="preserve">" (עמ' 32 לפרוטוקול שורות 30-33).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לדברי המתלונן, לאחר שיצא מהרכב הוא ניסה להגן עם ידיו על ראשו והוא ברח בריצה לכיוון בית אמו שנמצא מרחק קצר משם, אך בעת שהחל לרוץ ההמון השליך לעברו חפצים, מוטות ברזל, עצים וחפצים שונים שפגעו בכל חלקי גופו והוא נפל אל הקרקע.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המתלונן המשיך ותיאר כי בשלב מסוים הוא קיווה שמישהו מהשכנים יסייע לו, אך התוקפים לא חדלו עד שהוא איבד את הכרתו. וכך באו הדברים לידי ביטוי:</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 xml:space="preserve">וזעקתי זעקות אימים, זעקות שמישהו ישמע אותי. מהשכנים, שמישהו ירד, שמישהו שמכיר אותי. זה שכונה שבסופו של דבר, גרתי בה ארבע שנים, חמש שנים, מישהו, כאילו מכירים אותי שם. ידעתי שמישהו ישמע אותי, מישהו ידע, מישהו יעזור לי. אבל בשלב מסוים כבר השלמתי עם המוות, ידעתי שאני לא אצא משם. כאילו צרחתי צרחות ש, של כאילו בן אדם שמוסר את נפשו.[...] התחלתי לרוץ לכיוון הכניסה של אמא שלי, פשוט כל ההמון, היו ש, היו איזה ארבעים שפשוט החליטו שהם לא עוזבים אותי. רדפו אחרי, שמו לי רגל, הפילו אותי על הקרקע, בעטו בי בפרצוף אני זוכר. זה בעצם השלב שאיבדתי הכרה. אני זוכר שנתנו לי עם מוטות ברזל ועץ, גם כשאני על הרצפה מדמם. אני זוכר לפני שאיבדתי הכרה, את כל הפנים שלי נחתכות. זה שלב שכאילו נצרב לי כל כך בצורה שהיא קשה. מפה אני איבדתי הכרה, אני לא זוכר מה קרה אתי מאז.." </w:t>
      </w:r>
      <w:r>
        <w:rPr>
          <w:rFonts w:ascii="David" w:hAnsi="David" w:cs="David"/>
          <w:sz w:val="24"/>
          <w:szCs w:val="24"/>
          <w:rtl/>
        </w:rPr>
        <w:t xml:space="preserve">(עמ' 33 לפרוטוקול, שורות 15-31). </w:t>
      </w:r>
    </w:p>
    <w:p w:rsidR="00097EAE" w:rsidRDefault="00097EAE" w:rsidP="00097EAE">
      <w:pPr>
        <w:spacing w:line="360" w:lineRule="auto"/>
        <w:ind w:hanging="2267"/>
        <w:jc w:val="both"/>
        <w:rPr>
          <w:rFonts w:ascii="Arial" w:eastAsia="David" w:hAnsi="Arial"/>
        </w:rPr>
      </w:pPr>
      <w:r>
        <w:rPr>
          <w:rFonts w:ascii="Arial" w:eastAsia="David" w:hAnsi="Arial"/>
          <w:rtl/>
        </w:rPr>
        <w:lastRenderedPageBreak/>
        <w:t xml:space="preserve"> </w:t>
      </w: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b/>
          <w:bCs/>
          <w:sz w:val="24"/>
          <w:szCs w:val="24"/>
          <w:u w:val="single"/>
          <w:rtl/>
        </w:rPr>
        <w:t>שנית</w:t>
      </w:r>
      <w:r>
        <w:rPr>
          <w:rFonts w:ascii="David" w:hAnsi="David" w:cs="David"/>
          <w:b/>
          <w:bCs/>
          <w:sz w:val="24"/>
          <w:szCs w:val="24"/>
          <w:rtl/>
        </w:rPr>
        <w:t>, בסרטונים שצולמו על ידי העדה ד'</w:t>
      </w:r>
      <w:r>
        <w:rPr>
          <w:rFonts w:ascii="David" w:hAnsi="David" w:cs="David"/>
          <w:sz w:val="24"/>
          <w:szCs w:val="24"/>
          <w:rtl/>
        </w:rPr>
        <w:t xml:space="preserve">. העדה, שהעידה לפנינו ביום 7.3.22, שהתה במועד הרלוונטי בקומה השלישית בבניין בדרך הארבעה. הסרטונים צולמו מחלון הדירה שמשקיף לכיוון החניה </w:t>
      </w:r>
      <w:r>
        <w:rPr>
          <w:rFonts w:ascii="David" w:hAnsi="David" w:cs="David"/>
          <w:sz w:val="24"/>
          <w:szCs w:val="24"/>
          <w:u w:val="single"/>
          <w:rtl/>
        </w:rPr>
        <w:t>במקום בו המתלונן התמוטט לאחר שיצא את רכבו ורץ מרחק קצר</w:t>
      </w:r>
      <w:r>
        <w:rPr>
          <w:rFonts w:ascii="David" w:hAnsi="David" w:cs="David"/>
          <w:sz w:val="24"/>
          <w:szCs w:val="24"/>
          <w:rtl/>
        </w:rPr>
        <w:t xml:space="preserve"> (ת/42 הכולל 9 סרטונים ו 3 תמונות; הוגש בהסכמה - ר' פרוטוקול מיום 7.3.22, עמ' 35 שורות 2-12). </w:t>
      </w:r>
    </w:p>
    <w:p w:rsidR="00097EAE" w:rsidRDefault="00097EAE" w:rsidP="00097EAE">
      <w:pPr>
        <w:pStyle w:val="aa"/>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להלן תיאור הסרטונים הרלוונטיים לענייננו. הגם שאלה לא תיעדו באופן מלא את כלל האירוע, הם הוסיפו נתונים ואפשרו להתרשם באופן בלתי אמצעי מהאירוע הקשה –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spacing w:line="360" w:lineRule="auto"/>
        <w:jc w:val="both"/>
        <w:rPr>
          <w:rFonts w:ascii="David" w:hAnsi="David"/>
        </w:rPr>
      </w:pPr>
      <w:r>
        <w:rPr>
          <w:rFonts w:ascii="David" w:hAnsi="David"/>
          <w:rtl/>
        </w:rPr>
        <w:t>(-)</w:t>
      </w:r>
      <w:r>
        <w:rPr>
          <w:rFonts w:ascii="David" w:hAnsi="David"/>
          <w:rtl/>
        </w:rPr>
        <w:tab/>
        <w:t xml:space="preserve">סרטון המסתיים בספרות "2207" ואורכו 15 שניות, תיעד את שהתרחש שניות לאחר התנגשות המתלונן בחומה ויציאתו מהרכב. במונה 00:00:00 עד 00:00:04 מבחינים בעשרות מתפרעים צעירים, חלקם רעולי פנים וחלקם אוחזים במקלות וחפצים שונים. </w:t>
      </w:r>
      <w:r>
        <w:rPr>
          <w:rFonts w:ascii="David" w:hAnsi="David"/>
          <w:u w:val="single"/>
          <w:rtl/>
        </w:rPr>
        <w:t>החל ממונה 00:00:04 מבחינים במתלונן רץ על המדרכה לכיוון בית אמו, מספר מתפרעים רצים אחריו ומקיפים אותו עד שהוא מופל לקרקע</w:t>
      </w:r>
      <w:r>
        <w:rPr>
          <w:rFonts w:ascii="David" w:hAnsi="David"/>
          <w:rtl/>
        </w:rPr>
        <w:t xml:space="preserve"> (מונה 00:00:08). </w:t>
      </w:r>
      <w:r>
        <w:rPr>
          <w:rFonts w:ascii="David" w:hAnsi="David"/>
          <w:u w:val="single"/>
          <w:rtl/>
        </w:rPr>
        <w:t>במונה 00:00:08 עד 00:00:15 המתלונן נראה שרוע על הקרקע; מספר מתפרעים תוקפים אותו, חלקם מטיחים בעוצמה מקלות בראשו ובגופו; ניתן להבחין באחד המתפרעים בועט בחוזקה בראשו; ואחר משליך לעברו חפצים</w:t>
      </w:r>
      <w:r>
        <w:rPr>
          <w:rFonts w:ascii="David" w:hAnsi="David"/>
          <w:rtl/>
        </w:rPr>
        <w:t>. יודגש כי תקיפת המתלונן נמשכת על פני הדברים גם לאחר מונה 00:00:15, אך התיעוד נקטע משום הסטת המצלמה;</w:t>
      </w:r>
    </w:p>
    <w:p w:rsidR="00097EAE" w:rsidRDefault="00097EAE" w:rsidP="00097EAE">
      <w:pPr>
        <w:spacing w:line="360" w:lineRule="auto"/>
        <w:jc w:val="both"/>
        <w:rPr>
          <w:rFonts w:ascii="David" w:hAnsi="David"/>
        </w:rPr>
      </w:pPr>
    </w:p>
    <w:p w:rsidR="00097EAE" w:rsidRDefault="00097EAE" w:rsidP="00097EAE">
      <w:pPr>
        <w:spacing w:line="360" w:lineRule="auto"/>
        <w:jc w:val="both"/>
        <w:rPr>
          <w:rFonts w:ascii="David" w:hAnsi="David"/>
          <w:u w:val="single"/>
          <w:rtl/>
        </w:rPr>
      </w:pPr>
      <w:r>
        <w:rPr>
          <w:rFonts w:ascii="David" w:hAnsi="David"/>
          <w:rtl/>
        </w:rPr>
        <w:t>(-)</w:t>
      </w:r>
      <w:r>
        <w:rPr>
          <w:rFonts w:ascii="David" w:hAnsi="David"/>
          <w:rtl/>
        </w:rPr>
        <w:tab/>
        <w:t xml:space="preserve">סרטון המסתיים בספרות "8193" שאורכו 9 שניות, תיעד את רכב המתלונן עולה באש לאחר שהוצת, ומכאן ברור כי סרטון זה צולם לאחר הסרטון הקודם לעיל; המצלמה מוסטת שמאלה מהרכב הבוער לעבר המדרכה סמוך לבית העדה, והמתלונן נראה שרוע על המדרכה, מחוסר הכרה על פני הדברים ומדמם מראשו ומפניו. ליד המתלונן עמדו בשלב זה מספר אנשים, ביניהם השייח' עבאס זכור ושוטר. מיקום המתלונן בשלב זה שונה מהמיקום בו הוא הופל כאמור בסרטון לעיל ומצוי כעת כ 15 מטרים "פנימה" (מערבה) ברחוב (להלן: </w:t>
      </w:r>
      <w:r>
        <w:rPr>
          <w:rFonts w:ascii="David" w:hAnsi="David"/>
          <w:b/>
          <w:bCs/>
          <w:rtl/>
        </w:rPr>
        <w:t>"המיקום השני"</w:t>
      </w:r>
      <w:r>
        <w:rPr>
          <w:rFonts w:ascii="David" w:hAnsi="David"/>
          <w:rtl/>
        </w:rPr>
        <w:t>). לא הובאה במהלך ההליך ראיה לגבי נסיבות שינוי מיקומו של המתלונן ואשוב ואתייחס לנתון זה בהמשך;</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b/>
          <w:bCs/>
          <w:sz w:val="24"/>
          <w:szCs w:val="24"/>
          <w:u w:val="single"/>
          <w:rtl/>
        </w:rPr>
        <w:t>שלישית</w:t>
      </w:r>
      <w:r>
        <w:rPr>
          <w:rFonts w:ascii="David" w:hAnsi="David" w:cs="David"/>
          <w:b/>
          <w:bCs/>
          <w:sz w:val="24"/>
          <w:szCs w:val="24"/>
          <w:rtl/>
        </w:rPr>
        <w:t>, בסרטון שכונה "סרטון 1"</w:t>
      </w:r>
      <w:r>
        <w:rPr>
          <w:rFonts w:ascii="David" w:hAnsi="David" w:cs="David"/>
          <w:sz w:val="24"/>
          <w:szCs w:val="24"/>
          <w:rtl/>
        </w:rPr>
        <w:t xml:space="preserve"> – מדובר בסרטון שאורכו 37 שניות וצולם על ידי רוכב קטנוע שזהותו לא התבררה ושנסע מדרום לצפון בדרך הארבעה (הסרטון נכלל בדיסק ת/73 הכולל את "סרטון 1" ו"סרטון 2". ר' בנדון פרוטוקול מיום 27.2.22, עמ' 39, שורות 23-26).  </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במונה 00:00:09 עד 00:00:13 ניתן להבחין ברכב המתלונן מאיץ ומתנגש בחומה, "נהדף" מספר מטרים לאחור ונעצר. המצלם ירד מהקטנוע והמשיך לתעד תוך שהתקדם למקום האירוע. עם ההתנגשות בחומה ניתן להבחין במתפרעים צובאים על הרכב, משליכים לעברו אבנים, קרשים וחפצים </w:t>
      </w:r>
      <w:r>
        <w:rPr>
          <w:rFonts w:ascii="David" w:hAnsi="David" w:cs="David"/>
          <w:sz w:val="24"/>
          <w:szCs w:val="24"/>
          <w:rtl/>
        </w:rPr>
        <w:lastRenderedPageBreak/>
        <w:t xml:space="preserve">שונים, בעת שהמתלונן בתוך הרכב. במונה 00:00:24, לאחר כ 11 שניות מההתנגשות בחומה, ניתן להבחין במתלונן יוצא מהרכב ונס לכיוון בית אמו, תוך שהמתפרעים רצים אחריו, בועטים בו ומשליכים לעברו חפצים. </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b/>
          <w:bCs/>
          <w:sz w:val="24"/>
          <w:szCs w:val="24"/>
          <w:u w:val="single"/>
          <w:rtl/>
        </w:rPr>
        <w:t>רביעית</w:t>
      </w:r>
      <w:r>
        <w:rPr>
          <w:rFonts w:ascii="David" w:hAnsi="David" w:cs="David"/>
          <w:b/>
          <w:bCs/>
          <w:sz w:val="24"/>
          <w:szCs w:val="24"/>
          <w:rtl/>
        </w:rPr>
        <w:t>, בסרטון שכונה "סרטון 2"</w:t>
      </w:r>
      <w:r>
        <w:rPr>
          <w:rFonts w:ascii="David" w:hAnsi="David" w:cs="David"/>
          <w:sz w:val="24"/>
          <w:szCs w:val="24"/>
          <w:rtl/>
        </w:rPr>
        <w:t xml:space="preserve"> – מדובר בסרטון שאורכו 42 שניות וצולם על ידי אדם שזהותו לא התבררה מנקודה הקרובה לחומה בה התנגש רכב המתלונן (נכלל בדיסק ת/73 לעיל).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תחילתו של הסרטון לאחר התנגשות רכב המתלונן בחומה. בתחילת הסרטון (מונה 00:00:03) המתלונן נראה יוצא מהרכב ומתחיל לברוח כאמור לעיל. מספר שניות לאחר מכן (מונה 00:00:13) ותוך שהמתפרעים רצים אחר המתלונן, נראה השייח' עבאס הולך לכיוונם. במונה 00:00:18 מספר מתפרעים נראים מסייעים למוחמד שנפגע ונהדף מעבר לחומה; מעמידים אותו על רגליו ונשמעות צעקות "</w:t>
      </w:r>
      <w:r>
        <w:rPr>
          <w:rFonts w:ascii="David" w:hAnsi="David" w:cs="David"/>
          <w:b/>
          <w:bCs/>
          <w:sz w:val="24"/>
          <w:szCs w:val="24"/>
          <w:rtl/>
        </w:rPr>
        <w:t>וולאד, וואלד מת</w:t>
      </w:r>
      <w:r>
        <w:rPr>
          <w:rFonts w:ascii="David" w:hAnsi="David" w:cs="David"/>
          <w:sz w:val="24"/>
          <w:szCs w:val="24"/>
          <w:rtl/>
        </w:rPr>
        <w:t xml:space="preserve">".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b/>
          <w:bCs/>
          <w:sz w:val="24"/>
          <w:szCs w:val="24"/>
          <w:u w:val="single"/>
          <w:rtl/>
        </w:rPr>
        <w:t>חמישית</w:t>
      </w:r>
      <w:r>
        <w:rPr>
          <w:rFonts w:ascii="David" w:hAnsi="David" w:cs="David"/>
          <w:b/>
          <w:bCs/>
          <w:sz w:val="24"/>
          <w:szCs w:val="24"/>
          <w:rtl/>
        </w:rPr>
        <w:t>, מסרטוני מצלמות האבטחה של עיריית עכו</w:t>
      </w:r>
      <w:r>
        <w:rPr>
          <w:rFonts w:ascii="David" w:hAnsi="David" w:cs="David"/>
          <w:sz w:val="24"/>
          <w:szCs w:val="24"/>
          <w:rtl/>
        </w:rPr>
        <w:t xml:space="preserve"> (ת/9). ממצלמות שהוגדרו "וולפסון סר אייזיק מערב" ניתן להבחין בנתונים הבאים (תוך היעזרות בכלי ההגדלה שבתוכנת הצפייה של מצלמות העירייה):</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hanging="720"/>
        <w:jc w:val="both"/>
        <w:rPr>
          <w:rFonts w:ascii="David" w:hAnsi="David" w:cs="David"/>
          <w:sz w:val="24"/>
          <w:szCs w:val="24"/>
        </w:rPr>
      </w:pPr>
      <w:r>
        <w:rPr>
          <w:rFonts w:ascii="David" w:hAnsi="David" w:cs="David"/>
          <w:sz w:val="24"/>
          <w:szCs w:val="24"/>
          <w:rtl/>
        </w:rPr>
        <w:t>(-)</w:t>
      </w:r>
      <w:r>
        <w:rPr>
          <w:rFonts w:ascii="David" w:hAnsi="David" w:cs="David"/>
          <w:sz w:val="24"/>
          <w:szCs w:val="24"/>
          <w:rtl/>
        </w:rPr>
        <w:tab/>
        <w:t>21:24:26 - תחילת ריצה של חלק מהמתפרעים מכיוון הצומת לעבר הכיכר (אותה עת רכב המתלונן באזור הכיכר);</w:t>
      </w: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w:t>
      </w:r>
      <w:r>
        <w:rPr>
          <w:rFonts w:ascii="David" w:hAnsi="David" w:cs="David"/>
          <w:sz w:val="24"/>
          <w:szCs w:val="24"/>
          <w:rtl/>
        </w:rPr>
        <w:tab/>
        <w:t>21:24:41  - ניתן להבחין בהתנגשות רכבו של המתלונן בחומה;</w:t>
      </w:r>
    </w:p>
    <w:p w:rsidR="00097EAE" w:rsidRDefault="00097EAE" w:rsidP="00097EAE">
      <w:pPr>
        <w:pStyle w:val="aa"/>
        <w:spacing w:after="0" w:line="360" w:lineRule="auto"/>
        <w:ind w:hanging="720"/>
        <w:jc w:val="both"/>
        <w:rPr>
          <w:rFonts w:ascii="David" w:hAnsi="David" w:cs="David"/>
          <w:sz w:val="24"/>
          <w:szCs w:val="24"/>
          <w:rtl/>
        </w:rPr>
      </w:pPr>
      <w:r>
        <w:rPr>
          <w:rFonts w:ascii="David" w:hAnsi="David" w:cs="David"/>
          <w:sz w:val="24"/>
          <w:szCs w:val="24"/>
          <w:rtl/>
        </w:rPr>
        <w:t>(-)</w:t>
      </w:r>
      <w:r>
        <w:rPr>
          <w:rFonts w:ascii="David" w:hAnsi="David" w:cs="David"/>
          <w:sz w:val="24"/>
          <w:szCs w:val="24"/>
          <w:rtl/>
        </w:rPr>
        <w:tab/>
        <w:t>21:24:49 - השייח' זכור חוצה את הצומת ממזרח למערב (ניסיון לצפות בכל מסלול הליכתו במצלמה זו אינו אפשרי משום שדמותו "נבלעת" בהמון ומשום איכות הצילום); (לגבי זיהוי השיח' זכור בסרטון אפנה לעדותו מיום 14.3.22 עמ' 41-42 לפרוטוקול, וכן התצלום ת/78 מתוך הסרטון);</w:t>
      </w: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w:t>
      </w:r>
      <w:r>
        <w:rPr>
          <w:rFonts w:ascii="David" w:hAnsi="David" w:cs="David"/>
          <w:sz w:val="24"/>
          <w:szCs w:val="24"/>
          <w:rtl/>
        </w:rPr>
        <w:tab/>
        <w:t>21:24:51 - יציאת המתלונן מרכבו ותחילת מנוסתו הרגלית;</w:t>
      </w:r>
    </w:p>
    <w:p w:rsidR="00097EAE" w:rsidRDefault="00097EAE" w:rsidP="00097EAE">
      <w:pPr>
        <w:pStyle w:val="aa"/>
        <w:spacing w:after="0" w:line="360" w:lineRule="auto"/>
        <w:ind w:hanging="720"/>
        <w:jc w:val="both"/>
        <w:rPr>
          <w:rFonts w:ascii="David" w:hAnsi="David" w:cs="David"/>
          <w:sz w:val="24"/>
          <w:szCs w:val="24"/>
          <w:rtl/>
        </w:rPr>
      </w:pPr>
      <w:r>
        <w:rPr>
          <w:rFonts w:ascii="David" w:hAnsi="David" w:cs="David"/>
          <w:sz w:val="24"/>
          <w:szCs w:val="24"/>
          <w:rtl/>
        </w:rPr>
        <w:t>(-)</w:t>
      </w:r>
      <w:r>
        <w:rPr>
          <w:rFonts w:ascii="David" w:hAnsi="David" w:cs="David"/>
          <w:sz w:val="24"/>
          <w:szCs w:val="24"/>
          <w:rtl/>
        </w:rPr>
        <w:tab/>
        <w:t>21:26:40 - התפזרות המתפרעים, ככל הנראה משום רימוני גז או הלם שנורו על ידי כוח משטרה שהתקרב למקום; השוטרים עצמם נצפים במצלמה זו החל מסביבות 21:27:00 (ר' להלן סרטון מצלמת גוף של השוטר עדי מישל);</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b/>
          <w:bCs/>
          <w:sz w:val="24"/>
          <w:szCs w:val="24"/>
          <w:u w:val="single"/>
          <w:rtl/>
        </w:rPr>
        <w:t>שישית</w:t>
      </w:r>
      <w:r>
        <w:rPr>
          <w:rFonts w:ascii="David" w:hAnsi="David" w:cs="David"/>
          <w:sz w:val="24"/>
          <w:szCs w:val="24"/>
          <w:rtl/>
        </w:rPr>
        <w:t xml:space="preserve">, </w:t>
      </w:r>
      <w:r>
        <w:rPr>
          <w:rFonts w:ascii="David" w:hAnsi="David" w:cs="David"/>
          <w:b/>
          <w:bCs/>
          <w:sz w:val="24"/>
          <w:szCs w:val="24"/>
          <w:rtl/>
        </w:rPr>
        <w:t>מסרטוני מצלמת הגוף של רס"ב מישל</w:t>
      </w:r>
      <w:r>
        <w:rPr>
          <w:rFonts w:ascii="David" w:hAnsi="David" w:cs="David"/>
          <w:sz w:val="24"/>
          <w:szCs w:val="24"/>
          <w:rtl/>
        </w:rPr>
        <w:t xml:space="preserve"> </w:t>
      </w:r>
      <w:r>
        <w:rPr>
          <w:rFonts w:ascii="David" w:hAnsi="David" w:cs="David"/>
          <w:b/>
          <w:bCs/>
          <w:sz w:val="24"/>
          <w:szCs w:val="24"/>
          <w:rtl/>
        </w:rPr>
        <w:t>עדי</w:t>
      </w:r>
      <w:r>
        <w:rPr>
          <w:rFonts w:ascii="David" w:hAnsi="David" w:cs="David"/>
          <w:sz w:val="24"/>
          <w:szCs w:val="24"/>
          <w:rtl/>
        </w:rPr>
        <w:t xml:space="preserve"> (ת/7). סרטון שמסתיים בספרות 895 מתעד את הגעת רס"ב עדי יחד עם כוח שוטרים נוסף לצומת (צוין לעיל בהקשר למצלמות האבטחה של עיריית עכו). הגעת הכוח לצומת היא ב 21:29:20 וסמוך לאחר מכן מגיע השוטר סמוך למקום בו המתלונן </w:t>
      </w:r>
      <w:r>
        <w:rPr>
          <w:rFonts w:ascii="David" w:hAnsi="David" w:cs="David"/>
          <w:sz w:val="24"/>
          <w:szCs w:val="24"/>
          <w:rtl/>
        </w:rPr>
        <w:lastRenderedPageBreak/>
        <w:t>שוכב על הארץ כשהוא פצוע ומקבל עזרה רפואית, סמוך לכניסה לבית אמו, כשלידו השיח' זכור ואנשים נוספים. מדובר במיקום ה"שני" שצוין בהקשר לסרטוני העדה ד'.</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[תשומת הלב כי לא קיים סנכרון מלא במסדי הזמן השונים (מצלמות עכו, מצלמת גוף של השוטר), אך בשונה מתיקים אחרים, סוגיה זו אינה רלוונטית לקביעות שבגוף המחלוקת; וכאמור ניתן גם למצוא התרחשויות המתועדות ביותר מנקודת צילום אחת].</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b/>
          <w:bCs/>
          <w:sz w:val="24"/>
          <w:szCs w:val="24"/>
          <w:rtl/>
        </w:rPr>
      </w:pPr>
      <w:r>
        <w:rPr>
          <w:rFonts w:ascii="David" w:hAnsi="David" w:cs="David"/>
          <w:b/>
          <w:bCs/>
          <w:sz w:val="24"/>
          <w:szCs w:val="24"/>
          <w:u w:val="single"/>
          <w:rtl/>
        </w:rPr>
        <w:t>שביעית</w:t>
      </w:r>
      <w:r>
        <w:rPr>
          <w:rFonts w:ascii="David" w:hAnsi="David" w:cs="David"/>
          <w:b/>
          <w:bCs/>
          <w:sz w:val="24"/>
          <w:szCs w:val="24"/>
          <w:rtl/>
        </w:rPr>
        <w:t>, מעדויותיהם של השיח עבאס זכור ושל מי שסייע לו אותו ערב מר פאדי קאסם.</w:t>
      </w:r>
    </w:p>
    <w:p w:rsidR="00097EAE" w:rsidRDefault="00097EAE" w:rsidP="00097EAE">
      <w:pPr>
        <w:spacing w:line="360" w:lineRule="auto"/>
        <w:jc w:val="both"/>
        <w:rPr>
          <w:rFonts w:ascii="David" w:hAnsi="David"/>
          <w:b/>
          <w:bCs/>
          <w:sz w:val="28"/>
          <w:szCs w:val="28"/>
          <w:u w:val="single"/>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השיח עבאס זכור הוא תושב עכו, פעיל חברתי, חבר כנסת לשעבר ועובד במרכז גישור וסכסוכים בין ערבים ויהודים בעכו. מעדותו לפנינו מיום 14.3.22 עלה כי באותם ימים הוא עשה מאמץ להרגיע את הרוחות בעכו. ביום השני למהומות (יום האירוע) נודע לו שקבוצת יהודים הגיעה מחוץ לעכו במטרה להתעמת עם מקומיים. בעקבות כך הוא יצא לאזור ההתקהלות והבחין שם בצעיר ערבי שהותקף. </w:t>
      </w:r>
      <w:r>
        <w:rPr>
          <w:rFonts w:ascii="David" w:hAnsi="David" w:cs="David"/>
          <w:sz w:val="24"/>
          <w:szCs w:val="24"/>
          <w:u w:val="single"/>
          <w:rtl/>
        </w:rPr>
        <w:t>לגבי האירוע</w:t>
      </w:r>
      <w:r>
        <w:rPr>
          <w:rFonts w:ascii="David" w:hAnsi="David" w:cs="David"/>
          <w:sz w:val="24"/>
          <w:szCs w:val="24"/>
          <w:rtl/>
        </w:rPr>
        <w:t>, העד מסר כי בהמשך הבחין בצעירים ערבים מתאספים בצומת והבחין ברכבו של המתלונן מגיע עם דגלי ישראל בנסיעה לכיוון ההמון ומתנגש במוחמד ובחומה, תוך שהצעירים צועקים "</w:t>
      </w:r>
      <w:r>
        <w:rPr>
          <w:rFonts w:ascii="David" w:hAnsi="David" w:cs="David"/>
          <w:b/>
          <w:bCs/>
          <w:sz w:val="24"/>
          <w:szCs w:val="24"/>
          <w:rtl/>
        </w:rPr>
        <w:t>אללה הוא אכבר</w:t>
      </w:r>
      <w:r>
        <w:rPr>
          <w:rFonts w:ascii="David" w:hAnsi="David" w:cs="David"/>
          <w:sz w:val="24"/>
          <w:szCs w:val="24"/>
          <w:rtl/>
        </w:rPr>
        <w:t>". העד מסר שהבחין במתלונן יוצא מהרכב ותיאר את ניסיון ההימלטות תוך שההמון רדף אחריו. עלה כי אלמלא התערבותו, שהובילה לעצירת האלימות החמורה כנגד המתלונן, לא מן הנמנע שהתוצאות היו חמורות יותר ואף קטלניות. העד תיאר את הדברים כך:</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Arial" w:eastAsia="David" w:hAnsi="Arial" w:cs="David"/>
          <w:sz w:val="24"/>
          <w:szCs w:val="24"/>
          <w:rtl/>
        </w:rPr>
      </w:pPr>
      <w:r>
        <w:rPr>
          <w:rFonts w:ascii="Arial" w:eastAsia="David" w:hAnsi="Arial" w:cs="David"/>
          <w:sz w:val="24"/>
          <w:szCs w:val="24"/>
          <w:rtl/>
        </w:rPr>
        <w:t>"..</w:t>
      </w:r>
      <w:r>
        <w:rPr>
          <w:rFonts w:ascii="Arial" w:eastAsia="David" w:hAnsi="Arial" w:cs="David"/>
          <w:b/>
          <w:bCs/>
          <w:sz w:val="24"/>
          <w:szCs w:val="24"/>
          <w:rtl/>
        </w:rPr>
        <w:t xml:space="preserve">וראיתי רכב של מור בא, לא ידעתי שזה מור אבל רכב קטן עם דגלי ישראל מאחורה על הרכב, הוא נוסע לכיוון הצעירים שעומדים על יד מכולת אבו אל עדיב. הרכב עם דגלי ישראל מאחורה, עם כל המצב הזה, הצעירים התחילו לצעוק "אללה הוא אכבר" וכל הדברים האלה. אז אני רצתי לשמה, ראיתי שהרכב פגע במכולה של זבל או אדמה וגם פגיעה באיזה צעיר שמה במשפחת א.ש. </w:t>
      </w:r>
      <w:r>
        <w:rPr>
          <w:rFonts w:ascii="Arial" w:eastAsia="David" w:hAnsi="Arial" w:cs="David"/>
          <w:sz w:val="24"/>
          <w:szCs w:val="24"/>
          <w:rtl/>
        </w:rPr>
        <w:t>(במקור הובא שם המשפחה המלא – י.ל.)</w:t>
      </w:r>
      <w:r>
        <w:rPr>
          <w:rFonts w:ascii="Arial" w:eastAsia="David" w:hAnsi="Arial" w:cs="David"/>
          <w:b/>
          <w:bCs/>
          <w:sz w:val="24"/>
          <w:szCs w:val="24"/>
          <w:rtl/>
        </w:rPr>
        <w:t xml:space="preserve"> . אז אני רצתי למקום, ראיתי צעירים שולטים על הרכב, כאילו מכות. ראיתי שמור יוצא מהרכב אז אני עברתי בצד, לצד השני, בכדי למהר לראות, ראיתי אותו שיצא מהרכב, הצעירים רצים אחריו, קיבל כמה מכות שאני ראיתי אז אני רצתי, ראיתי מישהו שנתן לו מכות בראש, מכה בראש שלו אז אני, כמה שהשתדלתי לעמוד ישירות שהוא נפל, על יד, על יד מור, שאף אחד לא מתקרב, אף אחד לא נותן מכות, אני לא רוצה שהבן הזה ימות, אסור לכם להתקרב [...] אני עמדתי, עמדתי בגופי וצעקתי" </w:t>
      </w:r>
      <w:r>
        <w:rPr>
          <w:rFonts w:ascii="Arial" w:eastAsia="David" w:hAnsi="Arial" w:cs="David"/>
          <w:sz w:val="24"/>
          <w:szCs w:val="24"/>
          <w:rtl/>
        </w:rPr>
        <w:t>(עמוד 39 לפרוטוקול, שורות 11-27).</w:t>
      </w:r>
    </w:p>
    <w:p w:rsidR="00097EAE" w:rsidRDefault="00097EAE" w:rsidP="00097EAE">
      <w:pPr>
        <w:spacing w:line="360" w:lineRule="auto"/>
        <w:jc w:val="both"/>
        <w:rPr>
          <w:rFonts w:ascii="David" w:eastAsiaTheme="minorHAnsi" w:hAnsi="David"/>
          <w:rtl/>
        </w:rPr>
      </w:pPr>
    </w:p>
    <w:p w:rsidR="00097EAE" w:rsidRDefault="00097EAE" w:rsidP="00097EAE">
      <w:pPr>
        <w:spacing w:line="360" w:lineRule="auto"/>
        <w:jc w:val="both"/>
        <w:rPr>
          <w:rFonts w:ascii="David" w:hAnsi="David"/>
          <w:rtl/>
        </w:rPr>
      </w:pPr>
      <w:r>
        <w:rPr>
          <w:rFonts w:ascii="David" w:hAnsi="David"/>
          <w:rtl/>
        </w:rPr>
        <w:t xml:space="preserve">דברים דומים מסר גם פאדי קאסם (ר' עדותו מיום 3.7.22). מדובר בפעיל חברתי תושב עכו ואח במקצועו, שנלווה לשיח' זכור ביום האירוע, ועלה שהגיע למקום זמן קצר אחריו. מר קאסם תיאר שאף נתן טיפול רפואי ראשוני למתלונן ולאחר מכן סייע בפינויו. </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b/>
          <w:bCs/>
          <w:rtl/>
        </w:rPr>
      </w:pPr>
      <w:r>
        <w:rPr>
          <w:rFonts w:ascii="David" w:hAnsi="David"/>
          <w:rtl/>
        </w:rPr>
        <w:t xml:space="preserve">דברי שני העדים לעיל לא היו במחלוקת, והגם שהדברים ברורים </w:t>
      </w:r>
      <w:r>
        <w:rPr>
          <w:rFonts w:ascii="David" w:hAnsi="David"/>
          <w:b/>
          <w:bCs/>
          <w:rtl/>
        </w:rPr>
        <w:t xml:space="preserve">יש לחזור ולשבח את מעשיהם. </w:t>
      </w:r>
    </w:p>
    <w:p w:rsidR="00097EAE" w:rsidRDefault="00097EAE" w:rsidP="00097EAE">
      <w:pPr>
        <w:spacing w:line="360" w:lineRule="auto"/>
        <w:jc w:val="both"/>
        <w:rPr>
          <w:rFonts w:ascii="David" w:hAnsi="David"/>
          <w:rtl/>
        </w:rPr>
      </w:pPr>
    </w:p>
    <w:p w:rsidR="00097EAE" w:rsidRDefault="00097EAE" w:rsidP="00097EAE">
      <w:pPr>
        <w:pStyle w:val="aa"/>
        <w:numPr>
          <w:ilvl w:val="0"/>
          <w:numId w:val="7"/>
        </w:numPr>
        <w:spacing w:after="0" w:line="360" w:lineRule="auto"/>
        <w:ind w:left="0"/>
        <w:jc w:val="both"/>
        <w:rPr>
          <w:rFonts w:ascii="David" w:hAnsi="David" w:cs="David"/>
          <w:sz w:val="24"/>
          <w:szCs w:val="24"/>
          <w:rtl/>
        </w:rPr>
      </w:pPr>
      <w:r>
        <w:rPr>
          <w:rFonts w:ascii="David" w:hAnsi="David" w:cs="David"/>
          <w:b/>
          <w:bCs/>
          <w:sz w:val="24"/>
          <w:szCs w:val="24"/>
          <w:rtl/>
        </w:rPr>
        <w:t>בשלב זה אציג את גרסאות הנאשם</w:t>
      </w:r>
      <w:r>
        <w:rPr>
          <w:rFonts w:ascii="David" w:hAnsi="David" w:cs="David"/>
          <w:sz w:val="24"/>
          <w:szCs w:val="24"/>
          <w:rtl/>
        </w:rPr>
        <w:t xml:space="preserve">. הנאשם נעצר ביום 30.5.21, כ 18 ימים לאחר האירוע. כבר בחקירתו הראשונה הודה בתקיפת המתלונן, אם כי גרסתו לא היתה מלאה והתפתחה עם התקדמות החקירה. הנאשם נחקר על ידי חוקרי שב"כ ובמקביל על ידי חוקרי משטרה. יצוין, כי לא הועלו טענות זוטא ביחס לאיזה מאמרותיו, וגם בעדותו הראשית, בה מצופה היה שיתייחס לאי התאמות (באם ישנן טענות בנדון) בין הדברים שמסר לבין הדברים שנרשמו מפיו, או באם יש לו טענות אחרות, הוא לא העלה ולו טענה קונקרטית אחת. רק בחקירתו הנגדית, כאשר עומת עם אמרה כזו או אחרת, הוא העלה טענות בהקשר זה, וברור שמשקל טענות אלה הוא בהתאם. בכל אופן, גרסתו הבסיסית החל מחקירתו כחשוד, עבור לעדותו בבית המשפט, היא אחת, ולכן גם אם הועלו טענות בנוגע לדיוק תיעוד מזכרי השב"כ (ר' הערתי לעיל לעניין משקל טענות אלה), או בנוגע לאי רישום אחת מהודעותיו בשפה הערבית (ר' להלן), אלה אינן נוגעות כאמור ללוּז גרסתו. </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Pr>
      </w:pPr>
      <w:r>
        <w:rPr>
          <w:rFonts w:ascii="David" w:hAnsi="David" w:cs="David"/>
          <w:sz w:val="24"/>
          <w:szCs w:val="24"/>
          <w:rtl/>
        </w:rPr>
        <w:t xml:space="preserve">ובהמשך ישיר לאמור לעיל, ההגנה העלתה טענות לגבי חקירת הנאשם מיום 8.6.21 (ת/18) שנגבתה על ידי חוקר המשטרה רס"ב אסף אזולאי במתקן השב"כ באשקלון ונרשמה בשפה העברית. נטען, ובצדק, כי הוראות סדר הדין הפלילי (חקירת חשודים), התשס"ב-2002 מחייבות (ס' 8 לחוק) לתעד את החקירה בשפת החשוד ובאם הדבר אינו אפשרי, קיימת חובת תיעוד קולי או חזותי. חובה זו אינה מוחרגת גם כאשר מדובר בעבירות ביטחון (ור' בנדון גם האמור בע"פ 8140/19 </w:t>
      </w:r>
      <w:r>
        <w:rPr>
          <w:rFonts w:ascii="Miriam" w:hAnsi="Miriam" w:cs="Miriam"/>
          <w:sz w:val="24"/>
          <w:szCs w:val="24"/>
          <w:rtl/>
        </w:rPr>
        <w:t>אמג'ד נ' מדינת ישראל</w:t>
      </w:r>
      <w:r>
        <w:rPr>
          <w:rFonts w:ascii="David" w:hAnsi="David" w:cs="David"/>
          <w:sz w:val="24"/>
          <w:szCs w:val="24"/>
          <w:rtl/>
        </w:rPr>
        <w:t xml:space="preserve"> (25.3.21)). החקירה נושא ענייננו כעת התנהלה בשפה הערבית אך תועדה בעברית, ובכך כאמור נפל פגם. החוקרים הסבירו זאת בעומס העבודה אותה תקופה, באילוצים אובייקטיביים ובכך שהחקירה נערכה במתקן שב"כ. עם זאת דומה שבימינו, כשכל חוקר מצויד במכשיר טלפון, הסבר זה אינו יכול להתקבל. עם זאת ונוכח הערתי הכללית לעיל, וכן משום שהפגם לעיל רופא, ולו באופן חלקי, בכך שתמצית גרסת הנאשם מיום 8.6.21 נרשמה מפיו בשפה ערבית (אך נכתבה על ידי החוקר משום טענת הנאשם כי אינו יודע לכתוב בערבית - ר' בנדון המזכר ת/24), אין לפגם זה משמעות מעשית לענייננו (ור' בהקשר זה האמור בע"פ 2285/05 </w:t>
      </w:r>
      <w:r>
        <w:rPr>
          <w:rFonts w:ascii="Miriam" w:hAnsi="Miriam" w:cs="Miriam"/>
          <w:sz w:val="24"/>
          <w:szCs w:val="24"/>
          <w:rtl/>
        </w:rPr>
        <w:t>מדינת ישראל נ' אסחק</w:t>
      </w:r>
      <w:r>
        <w:rPr>
          <w:rFonts w:ascii="David" w:hAnsi="David" w:cs="David"/>
          <w:sz w:val="24"/>
          <w:szCs w:val="24"/>
          <w:rtl/>
        </w:rPr>
        <w:t xml:space="preserve">, פסקה 4 (5.12.05)). עוד אעיר, כי מחקירת גובי אמרות הנאשם (חוקרי משטרה ושב"כ) לא עלה כי יש להטיל ספק ברמת הדיוק שבה אלה נרשמו, והכל בשים לב להערותיי לעיל. </w:t>
      </w:r>
    </w:p>
    <w:p w:rsidR="00097EAE" w:rsidRDefault="00097EAE" w:rsidP="00097EAE">
      <w:pPr>
        <w:pStyle w:val="aa"/>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ועוד בהקשר לאמרות הנאשם, אפנה למסמך העובדות המוסכמות מיום 24.1.23 ממנו עלה כי בשנת 2008, עת היה הנאשם כבן 8 שנים הוא אובחן כסובל מהפרעה רגשית ואורגנית, וכן מחרדה שעלולה לגרום לפחד מוגזם שאינו נסמך בהכרח על עובדות אובייקטיביות, ובהתאם לכך עלולה להוביל לתגובות קיצוניות בהתנהגותו. בנוסף, הוסכם כי בעת שהיה בגיל בית ספר ועל רקע בעיות קשב וריכוז </w:t>
      </w:r>
      <w:r>
        <w:rPr>
          <w:rFonts w:ascii="David" w:hAnsi="David" w:cs="David"/>
          <w:sz w:val="24"/>
          <w:szCs w:val="24"/>
          <w:rtl/>
        </w:rPr>
        <w:lastRenderedPageBreak/>
        <w:t xml:space="preserve">וקשייו הלימודיים, הכוללים קושי בקרוא וכתוב, הוא שולב בכיתת חינוך מיוחד בבית ספר רגיל. בנוסף, הפנה בא כוח הנאשם לנתון שכבר הוזכר לעיל והוא כי מדובר במי שמתקשה אף בכתיבה בשפת אמו הערבית (ת/24 שהוזכר בפסקה לעיל), ויש בכך להעיד על דלות נתוניו. כלל הנתונים לעיל צוינו על ידי ההגנה הן בהקשר לכושר הביטוי של הנאשם עת נחקר, וגם בהקשר להתנהלותו באירוע עצמו. שקלתי את הנתונים לעיל בשני מישורי ההתייחסות לעיל, אולם איני סבור שיש להם נפקות של ממש לענייננו – הנתונים שהובאו במסמך העובדות המוסכמות הם, כאמור, מילדותו המוקדמת של הנאשם מסביבות גיל 8. הנאשם הוא יליד 2000 ובעת האירוע היה בן 21. לכן, ספק באם הם רלוונטיים למועד האירוע. מצופה היה להביא נתונים עדכניים, באם ההגנה סברה שיש להם רלוונטיות. זאת ועוד, גם אם אצא מנקודת הנחה, ריאלית בנסיבות העניין ובשים לב להתרשמותי הבלתי אמצעית מהנאשם, כי אין מדובר באדם בעל כישורים גבוהים, הדבר אינו רלוונטי לסוגיות העובדתיות והמשפטיות שבענייננו ככל שהדברים נוגעים להכרעת הדין.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b/>
          <w:bCs/>
          <w:sz w:val="24"/>
          <w:szCs w:val="24"/>
        </w:rPr>
      </w:pPr>
      <w:r>
        <w:rPr>
          <w:rFonts w:ascii="David" w:hAnsi="David" w:cs="David"/>
          <w:b/>
          <w:bCs/>
          <w:sz w:val="24"/>
          <w:szCs w:val="24"/>
          <w:rtl/>
        </w:rPr>
        <w:t xml:space="preserve">וכעת, לעיקרי הדברים שעלו בחקירות הנאשם וכן בעדותו בבית המשפט – </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Pr>
      </w:pPr>
      <w:r>
        <w:rPr>
          <w:rFonts w:ascii="David" w:hAnsi="David" w:cs="David"/>
          <w:sz w:val="24"/>
          <w:szCs w:val="24"/>
          <w:rtl/>
        </w:rPr>
        <w:t>(-)</w:t>
      </w:r>
      <w:r>
        <w:rPr>
          <w:rFonts w:ascii="David" w:hAnsi="David" w:cs="David"/>
          <w:sz w:val="24"/>
          <w:szCs w:val="24"/>
          <w:rtl/>
        </w:rPr>
        <w:tab/>
      </w:r>
      <w:r>
        <w:rPr>
          <w:rFonts w:ascii="David" w:hAnsi="David" w:cs="David"/>
          <w:sz w:val="24"/>
          <w:szCs w:val="24"/>
          <w:u w:val="single"/>
          <w:rtl/>
        </w:rPr>
        <w:t>בחקירתו הראשונה</w:t>
      </w:r>
      <w:r>
        <w:rPr>
          <w:rFonts w:ascii="David" w:hAnsi="David" w:cs="David"/>
          <w:sz w:val="24"/>
          <w:szCs w:val="24"/>
          <w:rtl/>
        </w:rPr>
        <w:t xml:space="preserve"> מיום 31.5.21 על ידי חוקר שב"כ (ת/50) </w:t>
      </w:r>
      <w:r>
        <w:rPr>
          <w:rFonts w:ascii="David" w:hAnsi="David" w:cs="David"/>
          <w:sz w:val="24"/>
          <w:szCs w:val="24"/>
          <w:u w:val="single"/>
          <w:rtl/>
        </w:rPr>
        <w:t>הכחיש</w:t>
      </w:r>
      <w:r>
        <w:rPr>
          <w:rFonts w:ascii="David" w:hAnsi="David" w:cs="David"/>
          <w:sz w:val="24"/>
          <w:szCs w:val="24"/>
          <w:rtl/>
        </w:rPr>
        <w:t xml:space="preserve"> הנאשם תחילה מעורבות ישירה בתקיפת המתלונן. עם זאת בהמשך אישר את הדבר ותיאר כי ברקע הדברים, מבחינתו, היתה כתבת טלוויזיה ששודרה כ 3 שבועות לפני האירוע בנוגע למתנחלים שגירשו אישה מוסלמית דתיה ומבוגרת מביתה. הנאשם תיאר שחש זעם רב בשל כך. </w:t>
      </w:r>
      <w:r>
        <w:rPr>
          <w:rFonts w:ascii="David" w:hAnsi="David" w:cs="David"/>
          <w:sz w:val="24"/>
          <w:szCs w:val="24"/>
          <w:u w:val="single"/>
          <w:rtl/>
        </w:rPr>
        <w:t>לגבי יום האירוע</w:t>
      </w:r>
      <w:r>
        <w:rPr>
          <w:rFonts w:ascii="David" w:hAnsi="David" w:cs="David"/>
          <w:sz w:val="24"/>
          <w:szCs w:val="24"/>
          <w:rtl/>
        </w:rPr>
        <w:t>, תיאר כי בשעות אחר הצהריים החלו שמועות על כך שיהודים מתכוונים לתקוף ערבים בעכו וכן תקפו והרסו סופרמרקט השייך לערבי. בעקבות כך הוא יצא את ביתו, הבחין בצעירים רבים הולכים לכיוון שכונת וולפסון (מקום האירוע), הצטרף אליהם ו</w:t>
      </w:r>
      <w:r>
        <w:rPr>
          <w:rFonts w:ascii="David" w:hAnsi="David" w:cs="David"/>
          <w:sz w:val="24"/>
          <w:szCs w:val="24"/>
          <w:u w:val="single"/>
          <w:rtl/>
        </w:rPr>
        <w:t>עטה על ראשו ופניו כאפיה</w:t>
      </w:r>
      <w:r>
        <w:rPr>
          <w:rFonts w:ascii="David" w:hAnsi="David" w:cs="David"/>
          <w:sz w:val="24"/>
          <w:szCs w:val="24"/>
          <w:rtl/>
        </w:rPr>
        <w:t xml:space="preserve"> מחשש שייתפס. כאשר הגיע לשכונת וולפסון בסביבות השעה 21:00, </w:t>
      </w:r>
      <w:r>
        <w:rPr>
          <w:rFonts w:ascii="David" w:hAnsi="David" w:cs="David"/>
          <w:sz w:val="24"/>
          <w:szCs w:val="24"/>
          <w:u w:val="single"/>
          <w:rtl/>
        </w:rPr>
        <w:t>הבחין בצעירים קוראים "יהודי יהודי" ומיידים אבנים לעבר רכב שעליו דגלי ישראל שהגיע לרחוב</w:t>
      </w:r>
      <w:r>
        <w:rPr>
          <w:rFonts w:ascii="David" w:hAnsi="David" w:cs="David"/>
          <w:sz w:val="24"/>
          <w:szCs w:val="24"/>
          <w:rtl/>
        </w:rPr>
        <w:t xml:space="preserve">. </w:t>
      </w:r>
      <w:r>
        <w:rPr>
          <w:rFonts w:ascii="David" w:hAnsi="David" w:cs="David"/>
          <w:sz w:val="24"/>
          <w:szCs w:val="24"/>
          <w:u w:val="single"/>
          <w:rtl/>
        </w:rPr>
        <w:t>הנאשם תיאר שיידה לעבר הרכב 2 אבנים</w:t>
      </w:r>
      <w:r>
        <w:rPr>
          <w:rFonts w:ascii="David" w:hAnsi="David" w:cs="David"/>
          <w:sz w:val="24"/>
          <w:szCs w:val="24"/>
          <w:rtl/>
        </w:rPr>
        <w:t xml:space="preserve">, ומיד לאחר מכן הרכב דרס צעיר שעמד על הכביש והעיף אותו. </w:t>
      </w:r>
      <w:r>
        <w:rPr>
          <w:rFonts w:ascii="David" w:hAnsi="David" w:cs="David"/>
          <w:sz w:val="24"/>
          <w:szCs w:val="24"/>
          <w:u w:val="single"/>
          <w:rtl/>
        </w:rPr>
        <w:t>הנאשם הוסיף שהבחין שצעירים רבים היכו את הרכב ואת הנהג שבתוכו ומשכו אותו מחוץ לרכב</w:t>
      </w:r>
      <w:r>
        <w:rPr>
          <w:rFonts w:ascii="David" w:hAnsi="David" w:cs="David"/>
          <w:sz w:val="24"/>
          <w:szCs w:val="24"/>
          <w:rtl/>
        </w:rPr>
        <w:t xml:space="preserve">. בשלב זה </w:t>
      </w:r>
      <w:r>
        <w:rPr>
          <w:rFonts w:ascii="David" w:hAnsi="David" w:cs="David"/>
          <w:sz w:val="24"/>
          <w:szCs w:val="24"/>
          <w:u w:val="single"/>
          <w:rtl/>
        </w:rPr>
        <w:t>הוא הרים מקל עץ שמצא על הרצפה שאורכו כ 50 ס"מ, וחבט באמצעותו בשמשה האחורית.</w:t>
      </w:r>
      <w:r>
        <w:rPr>
          <w:rFonts w:ascii="David" w:hAnsi="David" w:cs="David"/>
          <w:sz w:val="24"/>
          <w:szCs w:val="24"/>
          <w:rtl/>
        </w:rPr>
        <w:t xml:space="preserve"> הנהג ברח לכיוון המשך הרחוב, בעוד </w:t>
      </w:r>
      <w:r>
        <w:rPr>
          <w:rFonts w:ascii="David" w:hAnsi="David" w:cs="David"/>
          <w:sz w:val="24"/>
          <w:szCs w:val="24"/>
          <w:u w:val="single"/>
          <w:rtl/>
        </w:rPr>
        <w:t>הצעירים היכו בו מכל הכיוונים ורצו אחריו</w:t>
      </w:r>
      <w:r>
        <w:rPr>
          <w:rFonts w:ascii="David" w:hAnsi="David" w:cs="David"/>
          <w:sz w:val="24"/>
          <w:szCs w:val="24"/>
          <w:rtl/>
        </w:rPr>
        <w:t>; הנהג נפל על המדרכה ו</w:t>
      </w:r>
      <w:r>
        <w:rPr>
          <w:rFonts w:ascii="David" w:hAnsi="David" w:cs="David"/>
          <w:sz w:val="24"/>
          <w:szCs w:val="24"/>
          <w:u w:val="single"/>
          <w:rtl/>
        </w:rPr>
        <w:t>הצעירים המשיכו להכות אותו בבעיטות, אבנים ומקלות</w:t>
      </w:r>
      <w:r>
        <w:rPr>
          <w:rFonts w:ascii="David" w:hAnsi="David" w:cs="David"/>
          <w:sz w:val="24"/>
          <w:szCs w:val="24"/>
          <w:rtl/>
        </w:rPr>
        <w:t xml:space="preserve">. </w:t>
      </w:r>
      <w:r>
        <w:rPr>
          <w:rFonts w:ascii="David" w:hAnsi="David" w:cs="David"/>
          <w:sz w:val="24"/>
          <w:szCs w:val="24"/>
          <w:u w:val="single"/>
          <w:rtl/>
        </w:rPr>
        <w:t>הנאשם תיאר כי בעודו אוחז במקל, הוא התקרב אל הנהג ששכב על הרצפה, מדמם לאחר שהוכה קשות "</w:t>
      </w:r>
      <w:r>
        <w:rPr>
          <w:rFonts w:ascii="David" w:hAnsi="David" w:cs="David"/>
          <w:b/>
          <w:bCs/>
          <w:sz w:val="24"/>
          <w:szCs w:val="24"/>
          <w:u w:val="single"/>
          <w:rtl/>
        </w:rPr>
        <w:t>והיכה אותו בחוזקה עם המקל בבטנו מכה אחת</w:t>
      </w:r>
      <w:r>
        <w:rPr>
          <w:rFonts w:ascii="David" w:hAnsi="David" w:cs="David"/>
          <w:sz w:val="24"/>
          <w:szCs w:val="24"/>
          <w:rtl/>
        </w:rPr>
        <w:t xml:space="preserve">" (שם, סעיפים 11-13, </w:t>
      </w:r>
      <w:r>
        <w:rPr>
          <w:rFonts w:ascii="David" w:hAnsi="David" w:cs="David"/>
          <w:b/>
          <w:bCs/>
          <w:sz w:val="24"/>
          <w:szCs w:val="24"/>
          <w:rtl/>
        </w:rPr>
        <w:t>כל ההדגשות בהכרעת דין אינן במקור, אלא אם צוין אחרת - י.ל.)</w:t>
      </w:r>
      <w:r>
        <w:rPr>
          <w:rFonts w:ascii="David" w:hAnsi="David" w:cs="David"/>
          <w:sz w:val="24"/>
          <w:szCs w:val="24"/>
          <w:rtl/>
        </w:rPr>
        <w:t>. לאחר מכן השליך את המקל וברח לביתו. הנאשם הוסיף ומסר שהוא "</w:t>
      </w:r>
      <w:r>
        <w:rPr>
          <w:rFonts w:ascii="David" w:hAnsi="David" w:cs="David"/>
          <w:b/>
          <w:bCs/>
          <w:sz w:val="24"/>
          <w:szCs w:val="24"/>
          <w:rtl/>
        </w:rPr>
        <w:t>לא חשש להרוג או לפצוע קשות את הנהג משום שגם כך הכו אותו 200-300 איש בבעיטות, אגרופים, אבנים, מקלות וזכוכיות ולכן לא חשב שהמכה שלו תשנה משהו</w:t>
      </w:r>
      <w:r>
        <w:rPr>
          <w:rFonts w:ascii="David" w:hAnsi="David" w:cs="David"/>
          <w:sz w:val="24"/>
          <w:szCs w:val="24"/>
          <w:rtl/>
        </w:rPr>
        <w:t xml:space="preserve">" (ס' 28.15).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spacing w:line="360" w:lineRule="auto"/>
        <w:jc w:val="both"/>
        <w:rPr>
          <w:rFonts w:ascii="David" w:hAnsi="David"/>
          <w:rtl/>
        </w:rPr>
      </w:pPr>
      <w:r>
        <w:rPr>
          <w:rFonts w:ascii="David" w:hAnsi="David"/>
          <w:rtl/>
        </w:rPr>
        <w:t>(-)</w:t>
      </w:r>
      <w:r>
        <w:rPr>
          <w:rFonts w:ascii="David" w:hAnsi="David"/>
          <w:rtl/>
        </w:rPr>
        <w:tab/>
      </w:r>
      <w:r>
        <w:rPr>
          <w:rFonts w:ascii="David" w:hAnsi="David"/>
          <w:u w:val="single"/>
          <w:rtl/>
        </w:rPr>
        <w:t>בחקירתו מיום 1.6.21</w:t>
      </w:r>
      <w:r>
        <w:rPr>
          <w:rFonts w:ascii="David" w:hAnsi="David"/>
          <w:rtl/>
        </w:rPr>
        <w:t xml:space="preserve"> על ידי חוקרת משטרה (ת/28, נכתבה בשפה הערבית ותורגמה לעברית) הנאשם חזר על עיקר דבריו לעיל. הוא תיאר את הגעתו לזירת האירוע שם נכחו הרבה צעירים רעולי פנים, כמוהו. לאחר פגיעת המתלונן במוחמד נשמעו צעקות "</w:t>
      </w:r>
      <w:r>
        <w:rPr>
          <w:rFonts w:ascii="David" w:hAnsi="David"/>
          <w:b/>
          <w:bCs/>
          <w:rtl/>
        </w:rPr>
        <w:t>הילד מת, הילד מת</w:t>
      </w:r>
      <w:r>
        <w:rPr>
          <w:rFonts w:ascii="David" w:hAnsi="David"/>
          <w:rtl/>
        </w:rPr>
        <w:t>", בשלב זה הוא נטל מקל מעץ שמצא במקום ושבר באמצעותו את חלון הרכב האחורי. בהמשך הוא הבחין במתלונן על הרצפה כאשר הצעירים מרביצים ותוקפים אותו במקלות, בידיהם וברגליהם. הנאשם תיאר: "</w:t>
      </w:r>
      <w:r>
        <w:rPr>
          <w:rFonts w:ascii="David" w:hAnsi="David"/>
          <w:b/>
          <w:bCs/>
          <w:rtl/>
        </w:rPr>
        <w:t xml:space="preserve">ואני תקפתי אותו במקל </w:t>
      </w:r>
      <w:r>
        <w:rPr>
          <w:rFonts w:ascii="David" w:hAnsi="David"/>
          <w:b/>
          <w:bCs/>
          <w:u w:val="single"/>
          <w:rtl/>
        </w:rPr>
        <w:t>על הרגל</w:t>
      </w:r>
      <w:r>
        <w:rPr>
          <w:rFonts w:ascii="David" w:hAnsi="David"/>
          <w:b/>
          <w:bCs/>
          <w:rtl/>
        </w:rPr>
        <w:t xml:space="preserve"> מלמעלה והגיעה המשטרה וברחנו</w:t>
      </w:r>
      <w:r>
        <w:rPr>
          <w:rFonts w:ascii="David" w:hAnsi="David"/>
          <w:rtl/>
        </w:rPr>
        <w:t>". כשנשאל מדוע הצעירים תקפו את רכבו של המתלונן, השיב "</w:t>
      </w:r>
      <w:r>
        <w:rPr>
          <w:rFonts w:ascii="David" w:hAnsi="David"/>
          <w:b/>
          <w:bCs/>
          <w:rtl/>
        </w:rPr>
        <w:t>כי היה על הרכב דגל ישראל וכך ידעו שזה יהודי שברכב ואני כשחציתי את הכביש היו כבר מסביב לרכב ושוברים הרכב ואני שברתי בגלל שהוא דרס הילד וחשבנו שהילד מת כי אמרו שהוא מת</w:t>
      </w:r>
      <w:r>
        <w:rPr>
          <w:rFonts w:ascii="David" w:hAnsi="David"/>
          <w:rtl/>
        </w:rPr>
        <w:t>". כשנשאל מדוע תקף את המתלונן הסביר זאת בכך ש</w:t>
      </w:r>
      <w:r>
        <w:rPr>
          <w:rFonts w:ascii="David" w:hAnsi="David"/>
          <w:b/>
          <w:bCs/>
          <w:rtl/>
        </w:rPr>
        <w:t>"</w:t>
      </w:r>
      <w:r>
        <w:rPr>
          <w:rFonts w:ascii="David" w:hAnsi="David"/>
          <w:b/>
          <w:bCs/>
          <w:u w:val="single"/>
          <w:rtl/>
        </w:rPr>
        <w:t>התעצבנתי עליו</w:t>
      </w:r>
      <w:r>
        <w:rPr>
          <w:rFonts w:ascii="David" w:hAnsi="David"/>
          <w:b/>
          <w:bCs/>
          <w:rtl/>
        </w:rPr>
        <w:t xml:space="preserve"> ותקפתי אותו כי לא עניין אותו דרס שמאלה וימינה ואם הייתי בפניו גם אותי היה דורס</w:t>
      </w:r>
      <w:r>
        <w:rPr>
          <w:rFonts w:ascii="David" w:hAnsi="David"/>
          <w:rtl/>
        </w:rPr>
        <w:t xml:space="preserve">", והוסיף שהוא מצטער על מעשיו ויש לו הרבה חברים יהודים. </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rtl/>
        </w:rPr>
        <w:t>(-)</w:t>
      </w:r>
      <w:r>
        <w:rPr>
          <w:rFonts w:ascii="David" w:hAnsi="David"/>
          <w:rtl/>
        </w:rPr>
        <w:tab/>
      </w:r>
      <w:r>
        <w:rPr>
          <w:rFonts w:ascii="David" w:hAnsi="David"/>
          <w:u w:val="single"/>
          <w:rtl/>
        </w:rPr>
        <w:t>בחקירתו מיום 8.6.21</w:t>
      </w:r>
      <w:r>
        <w:rPr>
          <w:rFonts w:ascii="David" w:hAnsi="David"/>
          <w:rtl/>
        </w:rPr>
        <w:t xml:space="preserve"> שעה 10:50 על ידי חוקר שב"כ (ת/51) הנאשם מסר לראשונה כי </w:t>
      </w:r>
      <w:r>
        <w:rPr>
          <w:rFonts w:ascii="David" w:hAnsi="David"/>
          <w:u w:val="single"/>
          <w:rtl/>
        </w:rPr>
        <w:t>יום טרם האירוע</w:t>
      </w:r>
      <w:r>
        <w:rPr>
          <w:rFonts w:ascii="David" w:hAnsi="David"/>
          <w:rtl/>
        </w:rPr>
        <w:t xml:space="preserve"> (היום הראשון של ההתפרעויות בעכו) הוא יידה אבנים לעבר שוטרים ואף שרף קרטונים וצמיגים במטרה לחסום את הציר הראשי. </w:t>
      </w:r>
      <w:r>
        <w:rPr>
          <w:rFonts w:ascii="David" w:hAnsi="David"/>
          <w:u w:val="single"/>
          <w:rtl/>
        </w:rPr>
        <w:t>לגבי יום האירוע</w:t>
      </w:r>
      <w:r>
        <w:rPr>
          <w:rFonts w:ascii="David" w:hAnsi="David"/>
          <w:rtl/>
        </w:rPr>
        <w:t xml:space="preserve">, הנאשם תיאר כי הוא ועוד שניים (אחד מהם הנאשם 3) יצאו את הבית והתכוונו להצית קרטונים וצמיגים לחסימת הצירים ולכן היה נחוץ להם בנזין. הנאשם תיאר את מעשיהם להשגת בנזין, כולל מעשיו שלו (שאיבת הבנזין ב"במת הרמה"). משם הלכו לסופר מרקט שהיו שמועות שהותקף על ידי יהודים ומשם צעדו לכיוון זירת האירוע כשבדרך נתקלו בשוטרים ולאחר מכן הגיעו לזירת האירוע, </w:t>
      </w:r>
      <w:r>
        <w:rPr>
          <w:rFonts w:ascii="David" w:hAnsi="David"/>
          <w:u w:val="single"/>
          <w:rtl/>
        </w:rPr>
        <w:t>שם הוא וחבריו הציתו מתקן לאיסוף קרטונים וכן הניחו הקרטונים על הכביש במטרה לחסום את הציר</w:t>
      </w:r>
      <w:r>
        <w:rPr>
          <w:rFonts w:ascii="David" w:hAnsi="David"/>
          <w:rtl/>
        </w:rPr>
        <w:t xml:space="preserve">. באותו שלב נשמעו צעקות "יהודי, יהודי" והנאשם הבחין ברכב המתלונן ועליו דגלי ישראל נוסע לכיוונם במהירות ודרס את מוחמד. הנאשם תיאר את יידוי האבנים לעבר הרכב ואת הימלטות המתלונן ממנו. </w:t>
      </w:r>
      <w:r>
        <w:rPr>
          <w:rFonts w:ascii="David" w:hAnsi="David"/>
          <w:u w:val="single"/>
          <w:rtl/>
        </w:rPr>
        <w:t xml:space="preserve">הנאשם המשיך ותיאר שמצא מוט עץ על הרצפה, נטל אותו ושבר באמצעותו את חלון רכב המתלונן ולאחר מכן, עם הימלטות המתלונן מרכבו חבט הנאשם באמצעותו פעם אחת </w:t>
      </w:r>
      <w:r>
        <w:rPr>
          <w:rFonts w:ascii="David" w:hAnsi="David"/>
          <w:b/>
          <w:bCs/>
          <w:u w:val="single"/>
          <w:rtl/>
        </w:rPr>
        <w:t>בראשו של המתלונן</w:t>
      </w:r>
      <w:r>
        <w:rPr>
          <w:rFonts w:ascii="David" w:hAnsi="David"/>
          <w:u w:val="single"/>
          <w:rtl/>
        </w:rPr>
        <w:t xml:space="preserve"> שהיה שכוב על הארץ. </w:t>
      </w:r>
    </w:p>
    <w:p w:rsidR="00097EAE" w:rsidRDefault="00097EAE" w:rsidP="00097EAE">
      <w:pPr>
        <w:spacing w:line="360" w:lineRule="auto"/>
        <w:jc w:val="both"/>
        <w:rPr>
          <w:rFonts w:ascii="David" w:hAnsi="David"/>
          <w:b/>
          <w:bCs/>
          <w:u w:val="single"/>
        </w:rPr>
      </w:pPr>
    </w:p>
    <w:p w:rsidR="00097EAE" w:rsidRDefault="00097EAE" w:rsidP="00097EAE">
      <w:pPr>
        <w:spacing w:line="360" w:lineRule="auto"/>
        <w:jc w:val="both"/>
        <w:rPr>
          <w:rFonts w:ascii="David" w:hAnsi="David"/>
          <w:rtl/>
        </w:rPr>
      </w:pPr>
      <w:r>
        <w:rPr>
          <w:rFonts w:ascii="David" w:hAnsi="David"/>
          <w:rtl/>
        </w:rPr>
        <w:t>(-)</w:t>
      </w:r>
      <w:r>
        <w:rPr>
          <w:rFonts w:ascii="David" w:hAnsi="David"/>
          <w:rtl/>
        </w:rPr>
        <w:tab/>
      </w:r>
      <w:r>
        <w:rPr>
          <w:rFonts w:ascii="David" w:hAnsi="David"/>
          <w:u w:val="single"/>
          <w:rtl/>
        </w:rPr>
        <w:t>בחקירתו מיום 8.6.21</w:t>
      </w:r>
      <w:r>
        <w:rPr>
          <w:rFonts w:ascii="David" w:hAnsi="David"/>
          <w:rtl/>
        </w:rPr>
        <w:t xml:space="preserve"> שעה 13:58 על ידי חוקר משטרה (ת/18) הנאשם חזר על השתלשלות העניינים ביום האירוע כפי שצוין בחקירת השב"כ לעיל. לגבי מטרת יציאתו מביתו באותו יום תיאר כי "</w:t>
      </w:r>
      <w:r>
        <w:rPr>
          <w:rFonts w:ascii="David" w:hAnsi="David"/>
          <w:b/>
          <w:bCs/>
          <w:rtl/>
        </w:rPr>
        <w:t xml:space="preserve">באותו היום של הסיפור עם הנהג בוולפסון </w:t>
      </w:r>
      <w:r>
        <w:rPr>
          <w:rFonts w:ascii="David" w:hAnsi="David"/>
          <w:b/>
          <w:bCs/>
          <w:u w:val="single"/>
          <w:rtl/>
        </w:rPr>
        <w:t>ידענו שעומד להיות בלגאן עם היהודים</w:t>
      </w:r>
      <w:r>
        <w:rPr>
          <w:rFonts w:ascii="David" w:hAnsi="David"/>
          <w:b/>
          <w:bCs/>
          <w:rtl/>
        </w:rPr>
        <w:t xml:space="preserve"> נפגשנו בצהריים אצלי מתחת לבניין... ואמרנו נביא בנזין וניתן לאנשים בשביל שישרפו פחים וזבל...</w:t>
      </w:r>
      <w:r>
        <w:rPr>
          <w:rFonts w:ascii="David" w:hAnsi="David"/>
          <w:rtl/>
        </w:rPr>
        <w:t>" (שם, שורות 39-40); לגבי זריקת האבנים על רכב המתלונן, מסר כי הסיבה לכך היתה "</w:t>
      </w:r>
      <w:r>
        <w:rPr>
          <w:rFonts w:ascii="David" w:hAnsi="David"/>
          <w:b/>
          <w:bCs/>
          <w:u w:val="single"/>
          <w:rtl/>
        </w:rPr>
        <w:t>בגלל שראו דגל ישראל וצעקו יהודי יהודי</w:t>
      </w:r>
      <w:r>
        <w:rPr>
          <w:rFonts w:ascii="David" w:hAnsi="David"/>
          <w:rtl/>
        </w:rPr>
        <w:t>" (שם, שורה 89); לגבי התקיפה עצמה תיאר כי לאחר שהמתלונן יצא מהרכב, הוא (הנאשם) התקרב לרכב, ראה אנשים שוברים את הרכב, מצא במקום אלה מעץ "</w:t>
      </w:r>
      <w:r>
        <w:rPr>
          <w:rFonts w:ascii="David" w:hAnsi="David"/>
          <w:b/>
          <w:bCs/>
          <w:rtl/>
        </w:rPr>
        <w:t xml:space="preserve">בגודל </w:t>
      </w:r>
      <w:r>
        <w:rPr>
          <w:rFonts w:ascii="David" w:hAnsi="David"/>
          <w:b/>
          <w:bCs/>
          <w:rtl/>
        </w:rPr>
        <w:lastRenderedPageBreak/>
        <w:t>אולי שלושים או ארבעים סנטימטר בצבע חום הייתה צבועה היה נראה שהיא חלק משולחן קטן ששמים עליו קפה</w:t>
      </w:r>
      <w:r>
        <w:rPr>
          <w:rFonts w:ascii="David" w:hAnsi="David"/>
          <w:rtl/>
        </w:rPr>
        <w:t xml:space="preserve">" (שם, שורות 21-22), שבר באמצעותה את החלון האחורי של הרכב. בהמשך, תיאר כי </w:t>
      </w:r>
      <w:r>
        <w:rPr>
          <w:rFonts w:ascii="David" w:hAnsi="David"/>
          <w:u w:val="single"/>
          <w:rtl/>
        </w:rPr>
        <w:t>הבחין במתלונן נופל לרצפה</w:t>
      </w:r>
      <w:r>
        <w:rPr>
          <w:rFonts w:ascii="David" w:hAnsi="David"/>
          <w:rtl/>
        </w:rPr>
        <w:t>, ההמון הקיף אותו והיכה אותו באבנים ובאלות בכל חלקי גופו. הנאשם תיאר את חלקו בתקיפה: "</w:t>
      </w:r>
      <w:r>
        <w:rPr>
          <w:rFonts w:ascii="David" w:hAnsi="David"/>
          <w:b/>
          <w:bCs/>
          <w:u w:val="single"/>
          <w:rtl/>
        </w:rPr>
        <w:t>אני עצמי עם האלה שהייתה לי הגעתי לנהג ונתתי לו מכה אחת עם האלה על הראש של הנהג</w:t>
      </w:r>
      <w:r>
        <w:rPr>
          <w:rFonts w:ascii="David" w:hAnsi="David"/>
          <w:b/>
          <w:bCs/>
          <w:rtl/>
        </w:rPr>
        <w:t xml:space="preserve">, </w:t>
      </w:r>
      <w:r>
        <w:rPr>
          <w:rFonts w:ascii="David" w:hAnsi="David"/>
          <w:b/>
          <w:bCs/>
          <w:u w:val="single"/>
          <w:rtl/>
        </w:rPr>
        <w:t>הוא היה שוכב על הגב שלו והבטן למעלה היהודי, היה כולו דם, לא צעק כלום, הנהג היה עם עיניים פתוחות וכל הראש שלו דם</w:t>
      </w:r>
      <w:r>
        <w:rPr>
          <w:rFonts w:ascii="David" w:hAnsi="David"/>
          <w:b/>
          <w:bCs/>
          <w:rtl/>
        </w:rPr>
        <w:t>..</w:t>
      </w:r>
      <w:r>
        <w:rPr>
          <w:rFonts w:ascii="David" w:hAnsi="David"/>
          <w:rtl/>
        </w:rPr>
        <w:t xml:space="preserve">" (שם, שורות  24-26). יוער, כי בחלק האחרון של החקירה הכתיב הנאשם לחוקר את תמצית גרסתו וזו הועלתה בשפה הערבית על הכתב (ר' הדף הצמוד להודעה והתרגום ת/26) והתייחסנו לסוגיה זו לעיל. </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rtl/>
        </w:rPr>
        <w:t>(-)</w:t>
      </w:r>
      <w:r>
        <w:rPr>
          <w:rFonts w:ascii="David" w:hAnsi="David"/>
          <w:rtl/>
        </w:rPr>
        <w:tab/>
        <w:t xml:space="preserve"> </w:t>
      </w:r>
      <w:r>
        <w:rPr>
          <w:rFonts w:ascii="David" w:hAnsi="David"/>
          <w:u w:val="single"/>
          <w:rtl/>
        </w:rPr>
        <w:t>בחקירתו מיום 8.6.21 על ידי חוקר השב"כ</w:t>
      </w:r>
      <w:r>
        <w:rPr>
          <w:rFonts w:ascii="David" w:hAnsi="David"/>
          <w:rtl/>
        </w:rPr>
        <w:t xml:space="preserve"> (ת/52) נמסר לנאשם כי הסתיימה מניעת המפגש עם עו"ד. הנאשם נשאל שאלות הבהרה לגבי חלקם של אחרים באירועים, וכן מסר שטעה במעשיו באירוע וכי הושפע מנושא אל אקצה. </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Pr>
      </w:pPr>
      <w:r>
        <w:rPr>
          <w:rFonts w:ascii="David" w:hAnsi="David" w:cs="David"/>
          <w:sz w:val="24"/>
          <w:szCs w:val="24"/>
          <w:rtl/>
        </w:rPr>
        <w:t>(-)</w:t>
      </w:r>
      <w:r>
        <w:rPr>
          <w:rFonts w:ascii="David" w:hAnsi="David" w:cs="David"/>
          <w:sz w:val="24"/>
          <w:szCs w:val="24"/>
          <w:rtl/>
        </w:rPr>
        <w:tab/>
        <w:t xml:space="preserve">הנאשם נחקר פעמיים נוספות – ביום 10.6.21 על ידי חוקר שב"כ (ת/53) במסגרתה הוצג לו סרטון ממצלמת אבטחה, אך לא זיהה לטענתו איש; וכן ביום 16.6.21 על ידי חוקר משטרה אולם שמר על זכות השתיקה (ת/19). </w:t>
      </w:r>
    </w:p>
    <w:p w:rsidR="00097EAE" w:rsidRDefault="00097EAE" w:rsidP="00097EAE">
      <w:pPr>
        <w:spacing w:line="360" w:lineRule="auto"/>
        <w:jc w:val="both"/>
        <w:rPr>
          <w:rFonts w:ascii="David" w:hAnsi="David"/>
          <w:rtl/>
        </w:rPr>
      </w:pPr>
    </w:p>
    <w:p w:rsidR="00097EAE" w:rsidRDefault="00097EAE" w:rsidP="00097EAE">
      <w:pPr>
        <w:pStyle w:val="aa"/>
        <w:spacing w:after="0" w:line="360" w:lineRule="auto"/>
        <w:ind w:left="0"/>
        <w:jc w:val="both"/>
        <w:rPr>
          <w:rFonts w:ascii="David" w:hAnsi="David" w:cs="David"/>
          <w:b/>
          <w:bCs/>
          <w:sz w:val="24"/>
          <w:szCs w:val="24"/>
          <w:rtl/>
        </w:rPr>
      </w:pPr>
      <w:r>
        <w:rPr>
          <w:rFonts w:ascii="David" w:hAnsi="David" w:cs="David"/>
          <w:b/>
          <w:bCs/>
          <w:sz w:val="24"/>
          <w:szCs w:val="24"/>
          <w:u w:val="single"/>
          <w:rtl/>
        </w:rPr>
        <w:t>הנאשם העיד להגנתו בימים 22.9.22 וכן 6.10.22</w:t>
      </w:r>
      <w:r>
        <w:rPr>
          <w:rFonts w:ascii="David" w:hAnsi="David" w:cs="David"/>
          <w:b/>
          <w:bCs/>
          <w:sz w:val="24"/>
          <w:szCs w:val="24"/>
          <w:rtl/>
        </w:rPr>
        <w:t>.</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Pr>
      </w:pPr>
      <w:r>
        <w:rPr>
          <w:rFonts w:ascii="David" w:hAnsi="David" w:cs="David"/>
          <w:sz w:val="24"/>
          <w:szCs w:val="24"/>
          <w:u w:val="single"/>
          <w:rtl/>
        </w:rPr>
        <w:t>בעדותו הראשית</w:t>
      </w:r>
      <w:r>
        <w:rPr>
          <w:rFonts w:ascii="David" w:hAnsi="David" w:cs="David"/>
          <w:sz w:val="24"/>
          <w:szCs w:val="24"/>
          <w:rtl/>
        </w:rPr>
        <w:t xml:space="preserve"> מסר כי ביום האירוע ועל על רקע שמועות שיהודים תוקפים ערבים בסופר מרקט (משהדווי) הוא החליט ללכת למקום, אך משום שהמשטרה פיזרה את הצעירים באמצעות גז ורימונים הוא הלך לכיוון שכונת וולפסון. בדרך לשכונה הוא הבחין בכאפיה תלויה על חבל כביסה, נטל אותה והסתיר באמצעותה את פניו. מוולפסון הוא הלך לכיוון תחנת הרכבת, שם הייתה התפרעות בין יהודים לערבים והייתה תחושה של חוסר ביטחון (עמ' 62 לפרוטוקול, שורות 8-15). לאחר מכן, הגיע סמוך למכולת אבו דיב (הצומת בו התרחש האירוע) ואז </w:t>
      </w:r>
      <w:r>
        <w:rPr>
          <w:rFonts w:ascii="David" w:hAnsi="David" w:cs="David"/>
          <w:b/>
          <w:bCs/>
          <w:sz w:val="24"/>
          <w:szCs w:val="24"/>
          <w:rtl/>
        </w:rPr>
        <w:t>שמע שצועקים "יהודי, יהודי", וכן הבחין ברכב סיאט בצבע אפור עם דגלי ישראל מגיע לכיוון הצעירים. הנאשם תיאר שסבר שבכוונת הנהג לדרוס אותם. הנאשם המשיך ותיאר כי הצעירים יידו אבנים לעבר רכב המתלונן במטרה לעצור אותו, ו</w:t>
      </w:r>
      <w:r>
        <w:rPr>
          <w:rFonts w:ascii="David" w:hAnsi="David" w:cs="David"/>
          <w:b/>
          <w:bCs/>
          <w:sz w:val="24"/>
          <w:szCs w:val="24"/>
          <w:u w:val="single"/>
          <w:rtl/>
        </w:rPr>
        <w:t>גם הוא זרק 2 אבנים במטרה לעצור את הרכב</w:t>
      </w:r>
      <w:r>
        <w:rPr>
          <w:rFonts w:ascii="David" w:hAnsi="David" w:cs="David"/>
          <w:b/>
          <w:bCs/>
          <w:sz w:val="24"/>
          <w:szCs w:val="24"/>
          <w:rtl/>
        </w:rPr>
        <w:t>, אך לדבריו לא פגע ברכב</w:t>
      </w:r>
      <w:r>
        <w:rPr>
          <w:rFonts w:ascii="David" w:hAnsi="David" w:cs="David"/>
          <w:sz w:val="24"/>
          <w:szCs w:val="24"/>
          <w:rtl/>
        </w:rPr>
        <w:t xml:space="preserve">. הרכב המשיך לנסוע לעברם במהירות, פגע במוחמד א.ש. ואז התנגש בחומה.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הנאשם המשיך ותיאר כך את המשך האירוע: "</w:t>
      </w:r>
      <w:r>
        <w:rPr>
          <w:rFonts w:ascii="David" w:hAnsi="David" w:cs="David"/>
          <w:b/>
          <w:bCs/>
          <w:sz w:val="24"/>
          <w:szCs w:val="24"/>
          <w:rtl/>
        </w:rPr>
        <w:t xml:space="preserve">היהודי יצא וברח. בזמן הזה שהילד נדרס אני חציתי את הכביש. והסתכלתי על האדמה. היה שם מקל, שזה מה שנקרא רגל של שולחן קטן, זה בערבית, ששמים על זה הקפה, את הקפה. לקחתי את זה. הם כבר תקפו והיו הורסים את הרכב, שוברים את </w:t>
      </w:r>
      <w:r>
        <w:rPr>
          <w:rFonts w:ascii="David" w:hAnsi="David" w:cs="David"/>
          <w:b/>
          <w:bCs/>
          <w:sz w:val="24"/>
          <w:szCs w:val="24"/>
          <w:rtl/>
        </w:rPr>
        <w:lastRenderedPageBreak/>
        <w:t>הרכב. אבל הוא לא היה ברכב, הוא כבר יצא מהרכב. אני באתי עם המקל, שזה בערך 50 ס"מ. השמשות של הרכב היו כבר סדוקות, השמש סדוקה, הם היו כבר שוברים. אני נתתי מכה ושברתי את הזכוכית.</w:t>
      </w:r>
      <w:r>
        <w:rPr>
          <w:rFonts w:ascii="David" w:hAnsi="David" w:cs="David"/>
          <w:b/>
          <w:bCs/>
          <w:sz w:val="24"/>
          <w:szCs w:val="24"/>
          <w:u w:val="single"/>
          <w:rtl/>
        </w:rPr>
        <w:t xml:space="preserve"> היהודי היה על האדמה, ומסביבו מלא צעירים, בחורים צעירים, והיו מרביצים לו. אני באתי, נתתי לו מכה, מכה קלה לראש שלו. מכה קלה בראש. אני לא מצפה שהמקל הזה של ה-50 ס"מ, אין לי שום כוונה להרוג או לפצוע. אני מפחד בכלל להרוג. ברגע שנתתי לו את המכה אני לקחתי את עצמי וברחתי</w:t>
      </w:r>
      <w:r>
        <w:rPr>
          <w:rFonts w:ascii="David" w:hAnsi="David" w:cs="David"/>
          <w:b/>
          <w:bCs/>
          <w:sz w:val="24"/>
          <w:szCs w:val="24"/>
          <w:rtl/>
        </w:rPr>
        <w:t>. בזמן הזה המשטרה כבר זרקה גז, והבחורים התפזרו ונגמר</w:t>
      </w:r>
      <w:r>
        <w:rPr>
          <w:rFonts w:ascii="David" w:hAnsi="David" w:cs="David"/>
          <w:sz w:val="24"/>
          <w:szCs w:val="24"/>
          <w:rtl/>
        </w:rPr>
        <w:t xml:space="preserve">". (עמ' 63 לפרוטוקול, שורות 6-17).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הנאשם הוסיף כי בשלב בו היכה את המתלונן לא חשב שיקרה משהו, הוא נתן לו "</w:t>
      </w:r>
      <w:r>
        <w:rPr>
          <w:rFonts w:ascii="David" w:hAnsi="David" w:cs="David"/>
          <w:b/>
          <w:bCs/>
          <w:sz w:val="24"/>
          <w:szCs w:val="24"/>
          <w:rtl/>
        </w:rPr>
        <w:t>מכה קלה, מקסימום שהמצח שלו יהיה בצבע אדום, לא ייהרג, לא כלום</w:t>
      </w:r>
      <w:r>
        <w:rPr>
          <w:rFonts w:ascii="David" w:hAnsi="David" w:cs="David"/>
          <w:sz w:val="24"/>
          <w:szCs w:val="24"/>
          <w:rtl/>
        </w:rPr>
        <w:t xml:space="preserve">" (עמ' 63 לפרוטוקול, שורות 21). עוד לגבי "המקל", הנאשם תיאר אותו כמקל באורך של כ 50 ס"מ וקל משקל, דומה למקל של מטאטא (עמ' 65 לפרוטוקול, שורות 12-14), והוסיף כי היכה את המתלונן מכה אחת בטרם ברח. לגרסת הנאשם, בעת שהבחין במתלונן  עם רכבו נוסע לעבר ההמון הוא סבר שמדובר ביהודי שרוצה לדרוס ערבים, וזאת על רקע ההתפרעויות ההדדיות ופרסומים שונים ברשתות החברתיות. לדבריו בזמן האירוע הוא חשב שמוחמד נהרג מפגיעת המתלונן. הנאשם התבקש להתייחס לטענה כי המעשה שלו היה כנגד יהודים ובגלל המצב באל-אקצא ועזה, והשיב כי הוא לא נגד יהודים, אין לו קשר לפוליטיקה ויש לו חברים יהודים (עמ' 64 לפרוטוקול, שורות 4-9). </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b/>
          <w:bCs/>
          <w:sz w:val="24"/>
          <w:szCs w:val="24"/>
          <w:rtl/>
        </w:rPr>
        <w:t>בחקירתו הנגדית</w:t>
      </w:r>
      <w:r>
        <w:rPr>
          <w:rFonts w:ascii="David" w:hAnsi="David" w:cs="David"/>
          <w:sz w:val="24"/>
          <w:szCs w:val="24"/>
          <w:rtl/>
        </w:rPr>
        <w:t xml:space="preserve"> הנאשם הכחיש, ובכך סתר את אמרותיו כחשוד, שיום לפני האירוע הוא יצא מהבית והשתתף בהתפרעות, השליך אבנים לעבר שוטרים והבעיר צמיגים. הנאשם טען כי השלכת האבנים הייתה רק ביום האירוע (עמ' 78 לפרוטוקול מיום 22.9.22, שורות 22-27). לגבי השגת הבנזין ביום האירוע, הנאשם אישר את הדברים אך טען כי עשה זאת ללא שני חבריו אותם הזכיר בחקירותיו. הנאשם הוסיף, כי לאחר שהגיע לסופרמרקט הוא הצית צמיג וזאת בתגובה להתנהלות המשטרה, שהייתה לדבריו "בצד" של היהודים ותיאר את מעשיו כ"טיפשות" ו"פרחחות". הנאשם אישר שהגיע לשכונת וולפסון, מקום האירוע, משום </w:t>
      </w:r>
      <w:r>
        <w:rPr>
          <w:rFonts w:ascii="David" w:hAnsi="David" w:cs="David"/>
          <w:b/>
          <w:bCs/>
          <w:sz w:val="24"/>
          <w:szCs w:val="24"/>
          <w:rtl/>
        </w:rPr>
        <w:t>ש"אמרו שהיהודים בוולפסון..</w:t>
      </w:r>
      <w:r>
        <w:rPr>
          <w:rFonts w:ascii="David" w:hAnsi="David" w:cs="David"/>
          <w:sz w:val="24"/>
          <w:szCs w:val="24"/>
          <w:rtl/>
        </w:rPr>
        <w:t xml:space="preserve">" (עמ' 78 לפרוטוקול מיום 6.10.22, שורות 5-9).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u w:val="single"/>
          <w:rtl/>
        </w:rPr>
        <w:t>לגבי האירוע עצמו</w:t>
      </w:r>
      <w:r>
        <w:rPr>
          <w:rFonts w:ascii="David" w:hAnsi="David" w:cs="David"/>
          <w:sz w:val="24"/>
          <w:szCs w:val="24"/>
          <w:rtl/>
        </w:rPr>
        <w:t xml:space="preserve">, הנאשם השיב כי הבחין ברכב המתלונן מגיע וחשש שכוונתו לפגוע בערבים, בדומה לאירוע הלינץ' שאירע בבת-ים באותו יום. ואולם, בא כוח המאשימה הפנה לכך שאירוע הלינץ' בבת ים התרחש כ 12 דקות </w:t>
      </w:r>
      <w:r>
        <w:rPr>
          <w:rFonts w:ascii="David" w:hAnsi="David" w:cs="David"/>
          <w:sz w:val="24"/>
          <w:szCs w:val="24"/>
          <w:u w:val="single"/>
          <w:rtl/>
        </w:rPr>
        <w:t>לאחר</w:t>
      </w:r>
      <w:r>
        <w:rPr>
          <w:rFonts w:ascii="David" w:hAnsi="David" w:cs="David"/>
          <w:sz w:val="24"/>
          <w:szCs w:val="24"/>
          <w:rtl/>
        </w:rPr>
        <w:t xml:space="preserve"> האירוע נושא ענייננו, והנאשם לא נתן בנדון תשובה מניחה את הדעת (עמ' 84 לפרוטוקול מיום 6.10.22, שורות 7-16). הנאשם טען כי המתלונן הותקף על ידי ההמון במטרה "</w:t>
      </w:r>
      <w:r>
        <w:rPr>
          <w:rFonts w:ascii="David" w:hAnsi="David" w:cs="David"/>
          <w:b/>
          <w:bCs/>
          <w:sz w:val="24"/>
          <w:szCs w:val="24"/>
          <w:rtl/>
        </w:rPr>
        <w:t>לעצור אותו</w:t>
      </w:r>
      <w:r>
        <w:rPr>
          <w:rFonts w:ascii="David" w:hAnsi="David" w:cs="David"/>
          <w:sz w:val="24"/>
          <w:szCs w:val="24"/>
          <w:rtl/>
        </w:rPr>
        <w:t>"; וכן "</w:t>
      </w:r>
      <w:r>
        <w:rPr>
          <w:rFonts w:ascii="David" w:hAnsi="David" w:cs="David"/>
          <w:b/>
          <w:bCs/>
          <w:sz w:val="24"/>
          <w:szCs w:val="24"/>
          <w:rtl/>
        </w:rPr>
        <w:t>כדי להפחיד אותו שלא יעשה דבר [...] מאחר והוא דרס והילד מת, זאת הסיבה שהם נתנו לו מכות</w:t>
      </w:r>
      <w:r>
        <w:rPr>
          <w:rFonts w:ascii="David" w:hAnsi="David" w:cs="David"/>
          <w:sz w:val="24"/>
          <w:szCs w:val="24"/>
          <w:rtl/>
        </w:rPr>
        <w:t xml:space="preserve">" (עמ' 71 לפרוטוקול מיום 22.9.22, שורות 8-11); וביחס לשיח' זכור ציין כי היכה </w:t>
      </w:r>
      <w:r>
        <w:rPr>
          <w:rFonts w:ascii="David" w:hAnsi="David" w:cs="David"/>
          <w:sz w:val="24"/>
          <w:szCs w:val="24"/>
          <w:rtl/>
        </w:rPr>
        <w:lastRenderedPageBreak/>
        <w:t>את המתלונן ממש לפני שהשיח' הגיע, וכך באו הדברים לידי ביטוי:"</w:t>
      </w:r>
      <w:r>
        <w:rPr>
          <w:rFonts w:ascii="David" w:hAnsi="David" w:cs="David"/>
          <w:b/>
          <w:bCs/>
          <w:sz w:val="24"/>
          <w:szCs w:val="24"/>
          <w:rtl/>
        </w:rPr>
        <w:t xml:space="preserve">...ראיתי אותו </w:t>
      </w:r>
      <w:r>
        <w:rPr>
          <w:rFonts w:ascii="David" w:hAnsi="David" w:cs="David"/>
          <w:sz w:val="24"/>
          <w:szCs w:val="24"/>
          <w:rtl/>
        </w:rPr>
        <w:t>(את השיח' זכור – י.ל.)</w:t>
      </w:r>
      <w:r>
        <w:rPr>
          <w:rFonts w:ascii="David" w:hAnsi="David" w:cs="David"/>
          <w:b/>
          <w:bCs/>
          <w:sz w:val="24"/>
          <w:szCs w:val="24"/>
          <w:rtl/>
        </w:rPr>
        <w:t xml:space="preserve">, נתתי לו </w:t>
      </w:r>
      <w:r>
        <w:rPr>
          <w:rFonts w:ascii="David" w:hAnsi="David" w:cs="David"/>
          <w:sz w:val="24"/>
          <w:szCs w:val="24"/>
          <w:rtl/>
        </w:rPr>
        <w:t>(למתלונן – י.ל.)</w:t>
      </w:r>
      <w:r>
        <w:rPr>
          <w:rFonts w:ascii="David" w:hAnsi="David" w:cs="David"/>
          <w:b/>
          <w:bCs/>
          <w:sz w:val="24"/>
          <w:szCs w:val="24"/>
          <w:rtl/>
        </w:rPr>
        <w:t xml:space="preserve"> מכה והוא היה אומר 'תתרחקו תתרחקו' וברגע שנעמד על ידו, אף אחד לא נגע בו, לא נתן לו מכה, ואני ברחתי</w:t>
      </w:r>
      <w:r>
        <w:rPr>
          <w:rFonts w:ascii="David" w:hAnsi="David" w:cs="David"/>
          <w:sz w:val="24"/>
          <w:szCs w:val="24"/>
          <w:rtl/>
        </w:rPr>
        <w:t xml:space="preserve">" (עמ' 113, שורות 7-9). </w:t>
      </w:r>
    </w:p>
    <w:p w:rsidR="00097EAE" w:rsidRDefault="00097EAE" w:rsidP="00097EAE">
      <w:pPr>
        <w:spacing w:line="360" w:lineRule="auto"/>
        <w:jc w:val="both"/>
        <w:rPr>
          <w:rFonts w:ascii="David" w:hAnsi="David"/>
          <w:rtl/>
        </w:rPr>
      </w:pPr>
    </w:p>
    <w:p w:rsidR="00097EAE" w:rsidRDefault="00097EAE" w:rsidP="00097EAE">
      <w:pPr>
        <w:pStyle w:val="aa"/>
        <w:numPr>
          <w:ilvl w:val="0"/>
          <w:numId w:val="7"/>
        </w:numPr>
        <w:spacing w:after="0" w:line="360" w:lineRule="auto"/>
        <w:ind w:left="0"/>
        <w:jc w:val="both"/>
        <w:rPr>
          <w:rFonts w:ascii="David" w:hAnsi="David" w:cs="David"/>
          <w:sz w:val="24"/>
          <w:szCs w:val="24"/>
        </w:rPr>
      </w:pPr>
      <w:r>
        <w:rPr>
          <w:rFonts w:ascii="David" w:hAnsi="David" w:cs="David"/>
          <w:b/>
          <w:bCs/>
          <w:sz w:val="24"/>
          <w:szCs w:val="24"/>
          <w:rtl/>
        </w:rPr>
        <w:t>עדות הנאשם היתה בלתי מהימנה על פניה</w:t>
      </w:r>
      <w:r>
        <w:rPr>
          <w:rFonts w:ascii="David" w:hAnsi="David" w:cs="David"/>
          <w:sz w:val="24"/>
          <w:szCs w:val="24"/>
          <w:rtl/>
        </w:rPr>
        <w:t>. תיאוריו היו מלאכותיים, ממזערים, ובלתי מתקבלים על הדעת. כך, כאשר נשאל מדוע הצית צמיג (לדבריו לפני שהגיע לאירוע) תיאר זאת כ"</w:t>
      </w:r>
      <w:r>
        <w:rPr>
          <w:rFonts w:ascii="David" w:hAnsi="David" w:cs="David"/>
          <w:b/>
          <w:bCs/>
          <w:sz w:val="24"/>
          <w:szCs w:val="24"/>
          <w:rtl/>
        </w:rPr>
        <w:t>מעשה של פרחחים</w:t>
      </w:r>
      <w:r>
        <w:rPr>
          <w:rFonts w:ascii="David" w:hAnsi="David" w:cs="David"/>
          <w:sz w:val="24"/>
          <w:szCs w:val="24"/>
          <w:rtl/>
        </w:rPr>
        <w:t>" או "</w:t>
      </w:r>
      <w:r>
        <w:rPr>
          <w:rFonts w:ascii="David" w:hAnsi="David" w:cs="David"/>
          <w:b/>
          <w:bCs/>
          <w:sz w:val="24"/>
          <w:szCs w:val="24"/>
          <w:rtl/>
        </w:rPr>
        <w:t>רוח שטות</w:t>
      </w:r>
      <w:r>
        <w:rPr>
          <w:rFonts w:ascii="David" w:hAnsi="David" w:cs="David"/>
          <w:sz w:val="24"/>
          <w:szCs w:val="24"/>
          <w:rtl/>
        </w:rPr>
        <w:t xml:space="preserve">" (עמ' 77 לעדותו מיום 22.9.22); הנאשם התכחש לדברים שמסר בחקירותיו (לדוגמה, אודות מעשיו ביום טרם האירוע) מבלי שהעלה בעת עדויות חוקריו או בעדותו הראשית כל טענה של ממש בנדון; התכחש להפללת שותפיו להצטיידות בבנזין עובר לאירוע (שם, עמ' 79) הגם שאישר שהדבר נעשה כ"קונטרה" למשטרה (דיון מיום 6.10.22 עמ' 81). הנאשם טען, מחד גיסא, שיצא את ביתו משום הידיעות אודות יהודים שהגיעו לעכו; ומאידך גיסא, טען שפחד מאותם יהודים. לצד זאת, אישר שכלל לא פגש ביהודים באותו ערב. תשובתו האחרונה כי לא פגש יהודים באותו ערב ניתנה לאחר שבתחילה טען שכן פגש יהודים, אך כשהתבקש לפרט התברר שמדובר באלה </w:t>
      </w:r>
      <w:r>
        <w:rPr>
          <w:rFonts w:ascii="David" w:hAnsi="David" w:cs="David"/>
          <w:sz w:val="24"/>
          <w:szCs w:val="24"/>
          <w:u w:val="single"/>
          <w:rtl/>
        </w:rPr>
        <w:t>שנמלטו</w:t>
      </w:r>
      <w:r>
        <w:rPr>
          <w:rFonts w:ascii="David" w:hAnsi="David" w:cs="David"/>
          <w:sz w:val="24"/>
          <w:szCs w:val="24"/>
          <w:rtl/>
        </w:rPr>
        <w:t xml:space="preserve"> מבית המלון בעכו העתיקה, שם התגורר.. (דיון מיום 6.10.22 עמ' 79-80). בשלב מסוים של עדותו אף מסר שפחד שמא המתלונן ידרוס אותו וזאת על רקע הלינץ' שבוצע באזרח ערבי בבת-ים, דא עקא שאותו אירוע התרחש כ 12 דקות לאחר הלינץ' במתלונן נושא תיקנו.. [נתתי דעתי לטענה שעלתה לראשונה בסיכומי ההגנה, ולפיה הנתון של שעת האירוע בבת ים התקבל מגזר הדין של אחד מהנאשמים באותו מקרה (ת/79), אך איני יכול לקבל טענה זו. מדובר בראיה שהתקבלה ללא התנגדות, וההגנה יכולה היתה, גם אם באיחור, להפריכה בקלות יחסית, אך לא עשתה כן]. בהמשך אתייחס לנקודות נוספות המעידות על חוסר מהימנות הנאשם.</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numPr>
          <w:ilvl w:val="0"/>
          <w:numId w:val="7"/>
        </w:numPr>
        <w:spacing w:after="0" w:line="360" w:lineRule="auto"/>
        <w:ind w:left="0"/>
        <w:jc w:val="both"/>
        <w:rPr>
          <w:rFonts w:ascii="David" w:hAnsi="David" w:cs="David"/>
          <w:b/>
          <w:bCs/>
          <w:sz w:val="24"/>
          <w:szCs w:val="24"/>
        </w:rPr>
      </w:pPr>
      <w:r>
        <w:rPr>
          <w:rFonts w:ascii="David" w:hAnsi="David" w:cs="David"/>
          <w:b/>
          <w:bCs/>
          <w:sz w:val="24"/>
          <w:szCs w:val="24"/>
          <w:rtl/>
        </w:rPr>
        <w:t xml:space="preserve">כבר בשלב זה יש לקבוע כי מעשי הנאשם בלינץ' בו נפגע המתלונן, מהווים "מעשה טרור" על רקע דתי-לאומני, כהגדרת מונח זה בחוק המאבק בטרור.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"מעשה טרור" בחוק המאבק בטרור מתייחס למעשה עבירה או איום, שמתקיימים לגביהם </w:t>
      </w:r>
      <w:r>
        <w:rPr>
          <w:rFonts w:ascii="David" w:hAnsi="David" w:cs="David"/>
          <w:sz w:val="24"/>
          <w:szCs w:val="24"/>
          <w:u w:val="single"/>
          <w:rtl/>
        </w:rPr>
        <w:t>שלושה תנאים</w:t>
      </w:r>
      <w:r>
        <w:rPr>
          <w:rFonts w:ascii="David" w:hAnsi="David" w:cs="David"/>
          <w:sz w:val="24"/>
          <w:szCs w:val="24"/>
          <w:rtl/>
        </w:rPr>
        <w:t xml:space="preserve"> מצטברים – (1) הם נעשו ממניע מדיני, דתי, לאומני או אידיאולוגי; (2) הם נעשו במטרה לעורר פחד או בהלה בציבור או במטרה לאלץ ממשלה או רשות שלטונית לעשות מעשה או להימנע מלעשות מעשה; (3) במעשה שנעשה היה אחד מאלה או סיכון ממשי לאחת הנסיבות המפורטות בסעיף, כמו פגיעה חמורה בגופו של אדם או בחירותו. החוק מוסיף וקובע כי אין נפקא מינה אם המניע או המטרה בשני התנאים הראשונים לעיל היו הבלעדיים או העיקריים למעשה.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קביעתי לעיל עולה מגרסת הנאשם עצמו. החל מדבריו כי הושפע מסוגיית אל אקצה (ת/52); מתיאורו שלו כי חש זעם כ 3 שבועות לפני האירוע כאשר צפה בכתבה על הוצאת אישה מוסלמית  מביתה; דרך </w:t>
      </w:r>
      <w:r>
        <w:rPr>
          <w:rFonts w:ascii="David" w:hAnsi="David" w:cs="David"/>
          <w:sz w:val="24"/>
          <w:szCs w:val="24"/>
          <w:rtl/>
        </w:rPr>
        <w:lastRenderedPageBreak/>
        <w:t>תיאוריו כי יצא את ביתו בעקבות שמועות על כך שיהודים הגיעו לעכו; ההגעה סמוך לזירת האירוע רק משום ש"</w:t>
      </w:r>
      <w:r>
        <w:rPr>
          <w:rFonts w:ascii="David" w:hAnsi="David" w:cs="David"/>
          <w:b/>
          <w:bCs/>
          <w:sz w:val="24"/>
          <w:szCs w:val="24"/>
          <w:rtl/>
        </w:rPr>
        <w:t>אמרו שהיהודים בוולפסון</w:t>
      </w:r>
      <w:r>
        <w:rPr>
          <w:rFonts w:ascii="David" w:hAnsi="David" w:cs="David"/>
          <w:sz w:val="24"/>
          <w:szCs w:val="24"/>
          <w:rtl/>
        </w:rPr>
        <w:t xml:space="preserve">" (דיון מיום 6.10.22 עמ' 78); עבור למעשיו ובהם כיסוי ראשו כדי שלא יזוהה; ההתעמתות עם המשטרה; הצטיידות בבנזין; והחבירה למתפרעים בצומת שם הותקף המתלונן.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numPr>
          <w:ilvl w:val="0"/>
          <w:numId w:val="7"/>
        </w:numPr>
        <w:spacing w:after="0" w:line="360" w:lineRule="auto"/>
        <w:ind w:left="0"/>
        <w:jc w:val="both"/>
        <w:rPr>
          <w:rFonts w:ascii="David" w:hAnsi="David" w:cs="David"/>
          <w:sz w:val="24"/>
          <w:szCs w:val="24"/>
          <w:rtl/>
        </w:rPr>
      </w:pPr>
      <w:r>
        <w:rPr>
          <w:rFonts w:ascii="David" w:hAnsi="David" w:cs="David"/>
          <w:b/>
          <w:bCs/>
          <w:sz w:val="24"/>
          <w:szCs w:val="24"/>
          <w:rtl/>
        </w:rPr>
        <w:t>גם מעשיו של הנאשם באירוע עצמו היו מאותם מניעים ממש, והיו המשך ישיר לאותה התנהלות אלימה ופורעת חוק</w:t>
      </w:r>
      <w:r>
        <w:rPr>
          <w:rFonts w:ascii="David" w:hAnsi="David" w:cs="David"/>
          <w:sz w:val="24"/>
          <w:szCs w:val="24"/>
          <w:rtl/>
        </w:rPr>
        <w:t xml:space="preserve">. עלה מדבריו שלו בעדותו הראשית וכן מצפייה בסרטונים אליהם הפנינו לעיל, כי המתפרעים, ובכלל זאת הנאשם עצמו, החלו לזרוק אבנים לעבר רכב המתלונן עוד טרם פגיעתו במוחמד. הנאשם אף אישר כי </w:t>
      </w:r>
      <w:r>
        <w:rPr>
          <w:rFonts w:ascii="David" w:hAnsi="David" w:cs="David"/>
          <w:sz w:val="24"/>
          <w:szCs w:val="24"/>
          <w:u w:val="single"/>
          <w:rtl/>
        </w:rPr>
        <w:t>הסיבה היחידה למתקפה על רכב המתלונן היתה דגלי ישראל שהונפו עליו</w:t>
      </w:r>
      <w:r>
        <w:rPr>
          <w:rFonts w:ascii="David" w:hAnsi="David" w:cs="David"/>
          <w:sz w:val="24"/>
          <w:szCs w:val="24"/>
          <w:rtl/>
        </w:rPr>
        <w:t>. אפנה במיוחד לסרטון "וולפסון סר אייזיק מערב", נומרטור 21:24:20 ואילך (ת/9)</w:t>
      </w:r>
      <w:r>
        <w:rPr>
          <w:rFonts w:ascii="David" w:hAnsi="David" w:cs="David"/>
          <w:sz w:val="24"/>
          <w:szCs w:val="24"/>
        </w:rPr>
        <w:t xml:space="preserve"> </w:t>
      </w:r>
      <w:r>
        <w:rPr>
          <w:rFonts w:ascii="David" w:hAnsi="David" w:cs="David"/>
          <w:sz w:val="24"/>
          <w:szCs w:val="24"/>
          <w:rtl/>
        </w:rPr>
        <w:t>וכן לדברי הנאשם עצמו כי עוד בטרם זרק אבנים לעבר רכב המתלונן שמע את ההמון צועק "</w:t>
      </w:r>
      <w:r>
        <w:rPr>
          <w:rFonts w:ascii="David" w:hAnsi="David" w:cs="David"/>
          <w:b/>
          <w:bCs/>
          <w:sz w:val="24"/>
          <w:szCs w:val="24"/>
          <w:rtl/>
        </w:rPr>
        <w:t>יהודי יהודי</w:t>
      </w:r>
      <w:r>
        <w:rPr>
          <w:rFonts w:ascii="David" w:hAnsi="David" w:cs="David"/>
          <w:sz w:val="24"/>
          <w:szCs w:val="24"/>
          <w:rtl/>
        </w:rPr>
        <w:t>". אכן, הנאשם טען בהקשר לעיל, בעיקר כאשר העיד להגנתו, כי זרק את האבנים משום חששו שהמתלונן עומד לדרוס אותו ואת חבריו, אך איני נותן אמון דברים אלה.</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הנאשם טען בסיכומיו שלוּ ביקש להרע ליהודים משום יהדותם, יכול היה להתנכל לתושבי עכו היהודים בבתיהם ולא היה צריך "להמתין" לרכבו של המתלונן. בחינת מעשיו של הנאשם (יסוד עובדתי ויסוד נפשי) נעשית ביחס למועד תקיפתו הבלתי מוכחשת את המתלונן. העובדה שהנאשם היה מעורב בלינץ' ולא בפוגרום אינה מקהה את מעשיו. גם טענתו שעובר למעצרו הוא ניהל יחסי שכנות ועבודה טובים עם יהודים, היא נחמה פורתא. גם אם אניח כי דבריו בהקשר זה נכונים, השאלה היא מדוע יצא הנאשם את ביתו </w:t>
      </w:r>
      <w:r>
        <w:rPr>
          <w:rFonts w:ascii="David" w:hAnsi="David" w:cs="David"/>
          <w:sz w:val="24"/>
          <w:szCs w:val="24"/>
          <w:u w:val="single"/>
          <w:rtl/>
        </w:rPr>
        <w:t>באותו יום</w:t>
      </w:r>
      <w:r>
        <w:rPr>
          <w:rFonts w:ascii="David" w:hAnsi="David" w:cs="David"/>
          <w:sz w:val="24"/>
          <w:szCs w:val="24"/>
          <w:rtl/>
        </w:rPr>
        <w:t xml:space="preserve">, מדוע החליט לנהוג באופן שתואר בקצרה לעיל </w:t>
      </w:r>
      <w:r>
        <w:rPr>
          <w:rFonts w:ascii="David" w:hAnsi="David" w:cs="David"/>
          <w:sz w:val="24"/>
          <w:szCs w:val="24"/>
          <w:u w:val="single"/>
          <w:rtl/>
        </w:rPr>
        <w:t>באותו יום</w:t>
      </w:r>
      <w:r>
        <w:rPr>
          <w:rFonts w:ascii="David" w:hAnsi="David" w:cs="David"/>
          <w:sz w:val="24"/>
          <w:szCs w:val="24"/>
          <w:rtl/>
        </w:rPr>
        <w:t xml:space="preserve">, מדוע הגיע דווקא לזירת האירוע, מדוע החליט להשליך אבנים לעבר רכבו של המתלונן לאחר שהבחין בדגלי ישראל מונפים עליו, מדוע חבט ושבר את שמשת הרכב באמצעות מוט עץ שלטענתו מצא בזירה; ובעיקר – </w:t>
      </w:r>
      <w:r>
        <w:rPr>
          <w:rFonts w:ascii="David" w:hAnsi="David" w:cs="David"/>
          <w:sz w:val="24"/>
          <w:szCs w:val="24"/>
          <w:u w:val="single"/>
          <w:rtl/>
        </w:rPr>
        <w:t>מדוע רדף עם אחרים אחר המתלונן שנמלט על חייו ובחר להכות באמצעות מוט העץ על ראשו של המתלונן בעוד האחרון שרוע על הקרקע ושותת דם</w:t>
      </w:r>
      <w:r>
        <w:rPr>
          <w:rFonts w:ascii="David" w:hAnsi="David" w:cs="David"/>
          <w:sz w:val="24"/>
          <w:szCs w:val="24"/>
          <w:rtl/>
        </w:rPr>
        <w:t xml:space="preserve">. </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זאת ועוד, העובדה – כפי שנטען על ידי הנאשם בסיכומיו במפורש או במשתמע – כי נלוו למעשיו סיבות או מטרות נוספות (נתונים אישיים, "הליכה עם העדר") אינה רלוונטית, ולו משום האמור בסעיף ההגדרות של חוק המאבק בטרור ולפיו "</w:t>
      </w:r>
      <w:r>
        <w:rPr>
          <w:rFonts w:ascii="David" w:hAnsi="David" w:cs="David"/>
          <w:b/>
          <w:bCs/>
          <w:sz w:val="24"/>
          <w:szCs w:val="24"/>
          <w:rtl/>
        </w:rPr>
        <w:t>אין נפקא מינה אם המניע או המטרה המנויים בפסקאות (1) ו-(2) היו המניע או המטרה הבלעדיים או העיקריים למעשה או לאיום</w:t>
      </w:r>
      <w:r>
        <w:rPr>
          <w:rFonts w:ascii="David" w:hAnsi="David" w:cs="David"/>
          <w:sz w:val="24"/>
          <w:szCs w:val="24"/>
          <w:rtl/>
        </w:rPr>
        <w:t>".</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לא התעלמתי  במסקנתי זו מכך שהמאשימה עצמה ציינה בכתב האישום שהיו ברחבי הארץ באותם ימים תקיפות הן של יהודים והן של ערבים (ר' הסיפא של ס' 1 לכתב האישום); וגם לא התעלמתי מעדות השיח' זכור ולפיה באותו יום נפוצו ברשתות החברתיות בערבית ובפרט בשעות הרלוונטיות, </w:t>
      </w:r>
      <w:r>
        <w:rPr>
          <w:rFonts w:ascii="David" w:hAnsi="David" w:cs="David"/>
          <w:sz w:val="24"/>
          <w:szCs w:val="24"/>
          <w:rtl/>
        </w:rPr>
        <w:lastRenderedPageBreak/>
        <w:t xml:space="preserve">ידיעות </w:t>
      </w:r>
      <w:r>
        <w:rPr>
          <w:rFonts w:ascii="David" w:hAnsi="David" w:cs="David"/>
          <w:sz w:val="24"/>
          <w:szCs w:val="24"/>
          <w:u w:val="single"/>
          <w:rtl/>
        </w:rPr>
        <w:t>כוזבות</w:t>
      </w:r>
      <w:r>
        <w:rPr>
          <w:rFonts w:ascii="David" w:hAnsi="David" w:cs="David"/>
          <w:sz w:val="24"/>
          <w:szCs w:val="24"/>
          <w:rtl/>
        </w:rPr>
        <w:t xml:space="preserve"> כאילו יהודים הציתו של מסגד אלג'זאר, ושבחור ערבי בשם שאדי נרצח. עם זאת, גם אם אניח שהנאשם (כפי שעולה מהודאותיו) סבר כי יש חשש לשלום ערביי העיר עכו כתוצאה מאפשרות תקיפתם על ידי יהודים, יציאתו מביתו שבעיר העתיקה, מעשיו עוד טרם הגעתו לזירת האירוע (כיסוי פניו, הצתת צמיג, זריקת אבנים לעבר שוטרים), וזאת עוד הרבה לפני שנתקל במתלונן או באיזה איום כלשהו עליו או על הציבור הערבי בעכו, מצביעים על כך כי </w:t>
      </w:r>
      <w:r>
        <w:rPr>
          <w:rFonts w:ascii="David" w:hAnsi="David" w:cs="David"/>
          <w:sz w:val="24"/>
          <w:szCs w:val="24"/>
          <w:u w:val="single"/>
          <w:rtl/>
        </w:rPr>
        <w:t>כוונותיו לא היו שמירה על הציבור הערבי, אלא מדובר בפורע חוק, פשוטו כמשמעו, שיצא את ביתו כדי "לחפש צרות" ולהתעמת עם כוחות המשטרה ועם יהודים</w:t>
      </w:r>
      <w:r>
        <w:rPr>
          <w:rFonts w:ascii="David" w:hAnsi="David" w:cs="David"/>
          <w:sz w:val="24"/>
          <w:szCs w:val="24"/>
          <w:rtl/>
        </w:rPr>
        <w:t xml:space="preserve">. </w:t>
      </w:r>
    </w:p>
    <w:p w:rsidR="00097EAE" w:rsidRDefault="00097EAE" w:rsidP="00097EAE">
      <w:pPr>
        <w:pStyle w:val="aa"/>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אחת מטענות הנאשם היא שגם אם המתלונן לא התכוון לבצע פיגוע דריסה אלא "רק" איבד שליטה על רכבו, אזי הנאשם עצמו יכול היה לסבור (ולו בטעות) כי מדובר בפיגוע דריסה, ולראיה – הפגיעה במוחמד ("הילד"). כהערה מקדימה אציין כי הנאשם היה בין אלה שגרמו, מבחינת קשר סיבתי (לכל הפחות עובדתי), לפגיעה במוחמד. אלמלא המתקפה הפראית על המתלונן עת נהג ברכבו, מתקפה בה הנאשם נטל חלק, לא היה האחרון מאבד את השליטה על הרכב ופוגע במוחמד. משכך, ביסוס הגנת הנאשם בדריסת מוחמד היא טענה מוקשית משהו. כמו כן, הפגיעה במוחמד היתה קלה יחסית, הנאשם עצמו לא הכירו (ר' עדות הנאשם מיום 6.10.22 עמ' 97-98), ולא רק זאת אלא שכלל לא טרח לברר את מצבו מיד לאחר הפגיעה. </w:t>
      </w:r>
      <w:r>
        <w:rPr>
          <w:rFonts w:ascii="David" w:hAnsi="David" w:cs="David"/>
          <w:b/>
          <w:bCs/>
          <w:sz w:val="24"/>
          <w:szCs w:val="24"/>
          <w:rtl/>
        </w:rPr>
        <w:t>זאת ועוד, דריסת מוחמד על ידי המתלונן מהווה "חרב פיפיות"</w:t>
      </w:r>
      <w:r>
        <w:rPr>
          <w:rFonts w:ascii="David" w:hAnsi="David" w:cs="David"/>
          <w:sz w:val="24"/>
          <w:szCs w:val="24"/>
          <w:rtl/>
        </w:rPr>
        <w:t xml:space="preserve"> בנוגע לנאשם – הוא אמנם ניסה "להצדיק" את מעשיו משום דריסתו של מוחמד (רוצה לומר, לא "סתם" תקפתי את המתלונן, אלא עשיתי זאת משום שהלה דרס את מוחמד); אך הצד השני של המטבע הוא שעולה בבירור – וכך אני קובע – כי </w:t>
      </w:r>
      <w:r>
        <w:rPr>
          <w:rFonts w:ascii="David" w:hAnsi="David" w:cs="David"/>
          <w:b/>
          <w:bCs/>
          <w:sz w:val="24"/>
          <w:szCs w:val="24"/>
          <w:u w:val="single"/>
          <w:rtl/>
        </w:rPr>
        <w:t>הדבר העלה את זעמו של הנאשם כלפי המתלונן, עד כדי כך שהדבר הצדיק לטעמו את המשך מעשיו ובכלל זאת הכאת המתלונן על ראשו באמצעות המקל</w:t>
      </w:r>
      <w:r>
        <w:rPr>
          <w:rFonts w:ascii="David" w:hAnsi="David" w:cs="David"/>
          <w:sz w:val="24"/>
          <w:szCs w:val="24"/>
          <w:rtl/>
        </w:rPr>
        <w:t>. הנאשם ניסה באופן לא מוצלח ל"עמעם" את תיאור תחושותיו בשלב זה, ומסר כי היה "</w:t>
      </w:r>
      <w:r>
        <w:rPr>
          <w:rFonts w:ascii="David" w:hAnsi="David" w:cs="David"/>
          <w:b/>
          <w:bCs/>
          <w:sz w:val="24"/>
          <w:szCs w:val="24"/>
          <w:rtl/>
        </w:rPr>
        <w:t>עצוב</w:t>
      </w:r>
      <w:r>
        <w:rPr>
          <w:rFonts w:ascii="David" w:hAnsi="David" w:cs="David"/>
          <w:sz w:val="24"/>
          <w:szCs w:val="24"/>
          <w:rtl/>
        </w:rPr>
        <w:t xml:space="preserve">" נוכח דריסתו של מוחמד (ר' לדוגמה דיון מיום 6.10.22 עמ' 99-100), אך ברור כי אין מדובר ב"עצב" אלא </w:t>
      </w:r>
      <w:r>
        <w:rPr>
          <w:rFonts w:ascii="David" w:hAnsi="David" w:cs="David"/>
          <w:b/>
          <w:bCs/>
          <w:sz w:val="24"/>
          <w:szCs w:val="24"/>
          <w:rtl/>
        </w:rPr>
        <w:t xml:space="preserve">בזעם, כעס, </w:t>
      </w:r>
      <w:r>
        <w:rPr>
          <w:rFonts w:ascii="David" w:hAnsi="David" w:cs="David"/>
          <w:b/>
          <w:bCs/>
          <w:sz w:val="24"/>
          <w:szCs w:val="24"/>
          <w:u w:val="single"/>
          <w:rtl/>
        </w:rPr>
        <w:t>ורצון לעשות שפטים במתלונן</w:t>
      </w:r>
      <w:r>
        <w:rPr>
          <w:rFonts w:ascii="David" w:hAnsi="David" w:cs="David"/>
          <w:b/>
          <w:bCs/>
          <w:sz w:val="24"/>
          <w:szCs w:val="24"/>
          <w:rtl/>
        </w:rPr>
        <w:t xml:space="preserve">. </w:t>
      </w:r>
      <w:r>
        <w:rPr>
          <w:rFonts w:ascii="David" w:hAnsi="David" w:cs="David"/>
          <w:sz w:val="24"/>
          <w:szCs w:val="24"/>
          <w:u w:val="single"/>
          <w:rtl/>
        </w:rPr>
        <w:t>די לצפות בסרטונים הרלוונטיים שתוארו לעיל כדי להבין את התלהטות הרוחות ואת "כוח ההמון", במובנו השלילי, בהקשר זה.</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numPr>
          <w:ilvl w:val="0"/>
          <w:numId w:val="7"/>
        </w:numPr>
        <w:spacing w:after="0" w:line="360" w:lineRule="auto"/>
        <w:ind w:left="0"/>
        <w:jc w:val="both"/>
        <w:rPr>
          <w:rFonts w:ascii="David" w:hAnsi="David" w:cs="David"/>
          <w:b/>
          <w:bCs/>
          <w:sz w:val="24"/>
          <w:szCs w:val="24"/>
          <w:rtl/>
        </w:rPr>
      </w:pPr>
      <w:r>
        <w:rPr>
          <w:rFonts w:ascii="David" w:hAnsi="David" w:cs="David"/>
          <w:b/>
          <w:bCs/>
          <w:sz w:val="24"/>
          <w:szCs w:val="24"/>
          <w:rtl/>
        </w:rPr>
        <w:t xml:space="preserve">אי מתן האמון בגרסת הנאשם באה במיוחד לידי ביטוי בתיאורו הממזער בנוגע להכאת המתלונן. </w:t>
      </w: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אזכיר כי בחקירתו הראשונה מיום 31.5.21 (ת/50) תיאר כי היכה את המתלונן "</w:t>
      </w:r>
      <w:r>
        <w:rPr>
          <w:rFonts w:ascii="David" w:hAnsi="David" w:cs="David"/>
          <w:b/>
          <w:bCs/>
          <w:sz w:val="24"/>
          <w:szCs w:val="24"/>
          <w:rtl/>
        </w:rPr>
        <w:t>בחוזקה</w:t>
      </w:r>
      <w:r>
        <w:rPr>
          <w:rFonts w:ascii="David" w:hAnsi="David" w:cs="David"/>
          <w:sz w:val="24"/>
          <w:szCs w:val="24"/>
          <w:rtl/>
        </w:rPr>
        <w:t xml:space="preserve">" אך הוסיף כי כיוון </w:t>
      </w:r>
      <w:r>
        <w:rPr>
          <w:rFonts w:ascii="David" w:hAnsi="David" w:cs="David"/>
          <w:sz w:val="24"/>
          <w:szCs w:val="24"/>
          <w:u w:val="single"/>
          <w:rtl/>
        </w:rPr>
        <w:t>לבטנו</w:t>
      </w:r>
      <w:r>
        <w:rPr>
          <w:rFonts w:ascii="David" w:hAnsi="David" w:cs="David"/>
          <w:sz w:val="24"/>
          <w:szCs w:val="24"/>
          <w:rtl/>
        </w:rPr>
        <w:t xml:space="preserve">; בחקירתו מיום 1.6.21 (ת/28) שונה מקום הפגיעה </w:t>
      </w:r>
      <w:r>
        <w:rPr>
          <w:rFonts w:ascii="David" w:hAnsi="David" w:cs="David"/>
          <w:sz w:val="24"/>
          <w:szCs w:val="24"/>
          <w:u w:val="single"/>
          <w:rtl/>
        </w:rPr>
        <w:t>לרגל</w:t>
      </w:r>
      <w:r>
        <w:rPr>
          <w:rFonts w:ascii="David" w:hAnsi="David" w:cs="David"/>
          <w:sz w:val="24"/>
          <w:szCs w:val="24"/>
          <w:rtl/>
        </w:rPr>
        <w:t xml:space="preserve">; והחל מיום 8.6.21 ואילך הוא אישר כי חבט </w:t>
      </w:r>
      <w:r>
        <w:rPr>
          <w:rFonts w:ascii="David" w:hAnsi="David" w:cs="David"/>
          <w:sz w:val="24"/>
          <w:szCs w:val="24"/>
          <w:u w:val="single"/>
          <w:rtl/>
        </w:rPr>
        <w:t>בראשו</w:t>
      </w:r>
      <w:r>
        <w:rPr>
          <w:rFonts w:ascii="David" w:hAnsi="David" w:cs="David"/>
          <w:sz w:val="24"/>
          <w:szCs w:val="24"/>
          <w:rtl/>
        </w:rPr>
        <w:t xml:space="preserve"> של המתלונן ואף ציין שהמתלונן </w:t>
      </w:r>
      <w:r>
        <w:rPr>
          <w:rFonts w:ascii="David" w:hAnsi="David" w:cs="David"/>
          <w:b/>
          <w:bCs/>
          <w:sz w:val="24"/>
          <w:szCs w:val="24"/>
          <w:rtl/>
        </w:rPr>
        <w:t>".. היה שוכב על הגב שלו והבטן למעלה היהודי, היה כולו דם, לא צעק כלום, הנהג היה עם עיניים פתוחות וכל הראש שלו דם.."</w:t>
      </w:r>
      <w:r>
        <w:rPr>
          <w:rFonts w:ascii="David" w:hAnsi="David" w:cs="David"/>
          <w:sz w:val="24"/>
          <w:szCs w:val="24"/>
          <w:rtl/>
        </w:rPr>
        <w:t xml:space="preserve"> (ת/18 מיום 8.6.21). לצד זאת, תיאר הנאשם את תחושות הזעם שלו כלפי המתלונן משום שסבר שדרס את מוחמד, אף כי לא עשה שימוש בביטוי זה אלא בביטוי "עצב" אליו התייחסתי לעיל. התרשמותי הבלתי אמצעית מהנאשם, מסקנותיי לעיל לגבי כלל גרסתו, בחינת כלל נתוני האירוע ובכלל זאת נתוני </w:t>
      </w:r>
      <w:r>
        <w:rPr>
          <w:rFonts w:ascii="David" w:hAnsi="David" w:cs="David"/>
          <w:sz w:val="24"/>
          <w:szCs w:val="24"/>
          <w:rtl/>
        </w:rPr>
        <w:lastRenderedPageBreak/>
        <w:t xml:space="preserve">הסרטונים, כמו גם מבחני היגיון ושכל ישר, מוליכים בבירור למסקנה כי תיאור הנאשם בעת שהעיד לפנינו כאילו נתן "מכה קלה" לראשו של המתלונן, הוא תיאור חסר בסיס וממזער. זאת ועוד, גם תיאור המקל עמו עשה שימוש ככזה שאינו מסוגל לגרום נזק, הוא מופרך. אזכיר כי הנאשם תיאר כי חבט באמצעות אותו מקל בשמשת רכב המתלונן ואף שבר אותה; ועוד אפנה לנזקים שנגרמו לראשו של המתלונן כמשתקף בין היתר במסמך הרפואי ת/44 (שברים בעצמות האף, חתכים רבים בראש ובמצח). במיוחד אפנה לתיאור הנאשם בחקירתו הראשונה, אז מסר כי היכה את המתלונן </w:t>
      </w:r>
      <w:r>
        <w:rPr>
          <w:rFonts w:ascii="David" w:hAnsi="David" w:cs="David"/>
          <w:sz w:val="24"/>
          <w:szCs w:val="24"/>
          <w:u w:val="single"/>
          <w:rtl/>
        </w:rPr>
        <w:t>בחוזקה</w:t>
      </w:r>
      <w:r>
        <w:rPr>
          <w:rFonts w:ascii="David" w:hAnsi="David" w:cs="David"/>
          <w:sz w:val="24"/>
          <w:szCs w:val="24"/>
          <w:rtl/>
        </w:rPr>
        <w:t xml:space="preserve"> – תיאור שאני קובע כתואם את ההתרחשות בפועל.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המסקנה העולה מכלל הנתונים והקביעות עד כה היא ברורה. הנאשם ואחרים נטלו חלק בתקיפתו האכזרית של המתלונן, שכאמור אינה אלא כלינץ', שבוצע על רקע דתי-לאומני, והכל כמתואר בהרחבה לעיל. לא מן הנמנע שלו נמשכה התקיפה, היה מסתיים האירוע בתוצאה קטלנית.</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numPr>
          <w:ilvl w:val="0"/>
          <w:numId w:val="7"/>
        </w:numPr>
        <w:spacing w:after="0" w:line="360" w:lineRule="auto"/>
        <w:ind w:left="0"/>
        <w:jc w:val="both"/>
        <w:rPr>
          <w:rFonts w:ascii="David" w:hAnsi="David" w:cs="David"/>
          <w:sz w:val="24"/>
          <w:szCs w:val="24"/>
          <w:rtl/>
        </w:rPr>
      </w:pPr>
      <w:r>
        <w:rPr>
          <w:rFonts w:ascii="David" w:hAnsi="David" w:cs="David"/>
          <w:sz w:val="24"/>
          <w:szCs w:val="24"/>
          <w:rtl/>
        </w:rPr>
        <w:t>הדיון לעיל נסוב בעיקר בנוגע לעניין המניע הלאומני-דתי (התנאי הראשון); ולמען הסר ספק אבהיר כי גם יתר הדרישות שבהגדרת "מעשה טרור" התקיימו – כך, לעניין התנאי השני ("במטרה לעורר פחד או בהלה בציבור..") די אם אפנה לכך כי ס' 2(ב) לחוק המאבק בטרור, קובע כי בכל מקום בחוק שבו נאמר "מטרה" ניתן להחיל את הלכת הצפיות, היינו כי ראייה מראש את התרחשות התוצאות כאפשרות קרובה לוודאי, כמוה כמטרה לגרמן. בענייננו אינני סבור כי יכול להיות חולק שתנאי זה התקיים, ולא בכדי הצדדים לא הרחיבו בכך ולכן גם אני אמנע מכך. מאליו יוצא כי נוכח הפגיעה הקשה במתלונן מתקיים גם התנאי השלישי של פגיעה חמורה בגוף וברכוש (בתנאים שפורטו בחוק בהקשר זה) וזאת בשים לב להשלכת האבנים לעבר רכבו של המתלונן כשעדיין היה בתנועה; לפגיעה ברכב כאשר המתלונן ישב בתוך הרכב; ונוכח הפגיעה הפיזית במתלונן עצמו לאחר שיצא את הרכב.</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numPr>
          <w:ilvl w:val="0"/>
          <w:numId w:val="7"/>
        </w:numPr>
        <w:spacing w:after="0" w:line="360" w:lineRule="auto"/>
        <w:ind w:left="0"/>
        <w:jc w:val="both"/>
        <w:rPr>
          <w:rFonts w:ascii="David" w:hAnsi="David" w:cs="David"/>
          <w:sz w:val="24"/>
          <w:szCs w:val="24"/>
          <w:rtl/>
        </w:rPr>
      </w:pPr>
      <w:r>
        <w:rPr>
          <w:rFonts w:ascii="David" w:hAnsi="David" w:cs="David"/>
          <w:b/>
          <w:bCs/>
          <w:sz w:val="24"/>
          <w:szCs w:val="24"/>
          <w:rtl/>
        </w:rPr>
        <w:t xml:space="preserve">דיוננו הגיע לליבת התיק, והיא - האם הנאשם ביצע מעשה טרור של </w:t>
      </w:r>
      <w:r>
        <w:rPr>
          <w:rFonts w:ascii="David" w:hAnsi="David" w:cs="David"/>
          <w:b/>
          <w:bCs/>
          <w:sz w:val="24"/>
          <w:szCs w:val="24"/>
          <w:u w:val="single"/>
          <w:rtl/>
        </w:rPr>
        <w:t>ניסיון רצח</w:t>
      </w:r>
      <w:r>
        <w:rPr>
          <w:rFonts w:ascii="David" w:hAnsi="David" w:cs="David"/>
          <w:sz w:val="24"/>
          <w:szCs w:val="24"/>
          <w:rtl/>
        </w:rPr>
        <w:t xml:space="preserve">. </w:t>
      </w:r>
    </w:p>
    <w:p w:rsidR="00097EAE" w:rsidRDefault="00097EAE" w:rsidP="00097EAE">
      <w:pPr>
        <w:pStyle w:val="aa"/>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עבירה זו נקבעה כעבירה עצמאית בסעיף 305 לחוק העונשין, ומורה כך:</w:t>
      </w:r>
    </w:p>
    <w:p w:rsidR="00097EAE" w:rsidRDefault="00097EAE" w:rsidP="00097EAE">
      <w:pPr>
        <w:spacing w:line="360" w:lineRule="auto"/>
        <w:jc w:val="both"/>
        <w:rPr>
          <w:rFonts w:ascii="David" w:hAnsi="David"/>
          <w:rtl/>
        </w:rPr>
      </w:pPr>
    </w:p>
    <w:p w:rsidR="00097EAE" w:rsidRDefault="00097EAE" w:rsidP="00097EAE">
      <w:pPr>
        <w:spacing w:line="360" w:lineRule="auto"/>
        <w:rPr>
          <w:rFonts w:ascii="David" w:hAnsi="David"/>
          <w:b/>
          <w:bCs/>
          <w:rtl/>
        </w:rPr>
      </w:pPr>
      <w:r>
        <w:rPr>
          <w:rFonts w:ascii="David" w:hAnsi="David"/>
          <w:rtl/>
        </w:rPr>
        <w:t>"</w:t>
      </w:r>
      <w:r>
        <w:rPr>
          <w:rFonts w:ascii="David" w:hAnsi="David"/>
          <w:b/>
          <w:bCs/>
          <w:rtl/>
        </w:rPr>
        <w:t>305. העושה אחת מאלה, דינו - מאסר עשרים שנים:</w:t>
      </w:r>
    </w:p>
    <w:p w:rsidR="00097EAE" w:rsidRDefault="00097EAE" w:rsidP="00097EAE">
      <w:pPr>
        <w:spacing w:line="360" w:lineRule="auto"/>
        <w:rPr>
          <w:rFonts w:ascii="David" w:hAnsi="David"/>
          <w:b/>
          <w:bCs/>
          <w:rtl/>
        </w:rPr>
      </w:pPr>
    </w:p>
    <w:p w:rsidR="00097EAE" w:rsidRDefault="00097EAE" w:rsidP="00097EAE">
      <w:pPr>
        <w:spacing w:line="360" w:lineRule="auto"/>
        <w:rPr>
          <w:rFonts w:ascii="David" w:hAnsi="David"/>
          <w:b/>
          <w:bCs/>
          <w:rtl/>
        </w:rPr>
      </w:pPr>
      <w:r>
        <w:rPr>
          <w:rFonts w:ascii="David" w:hAnsi="David"/>
          <w:b/>
          <w:bCs/>
          <w:rtl/>
        </w:rPr>
        <w:t xml:space="preserve">(1)   </w:t>
      </w:r>
      <w:r>
        <w:rPr>
          <w:rFonts w:ascii="David" w:hAnsi="David"/>
          <w:b/>
          <w:bCs/>
          <w:rtl/>
        </w:rPr>
        <w:tab/>
        <w:t>מנסה שלא כדין לגרום למותו של אדם;</w:t>
      </w:r>
    </w:p>
    <w:p w:rsidR="00097EAE" w:rsidRDefault="00097EAE" w:rsidP="00097EAE">
      <w:pPr>
        <w:spacing w:line="360" w:lineRule="auto"/>
        <w:ind w:left="720" w:hanging="720"/>
        <w:jc w:val="both"/>
        <w:rPr>
          <w:rFonts w:ascii="David" w:hAnsi="David"/>
          <w:rtl/>
        </w:rPr>
      </w:pPr>
      <w:r>
        <w:rPr>
          <w:rFonts w:ascii="David" w:hAnsi="David"/>
          <w:b/>
          <w:bCs/>
          <w:rtl/>
        </w:rPr>
        <w:t xml:space="preserve">(2)   </w:t>
      </w:r>
      <w:r>
        <w:rPr>
          <w:rFonts w:ascii="David" w:hAnsi="David"/>
          <w:b/>
          <w:bCs/>
          <w:rtl/>
        </w:rPr>
        <w:tab/>
        <w:t>עושה שלא כדין מעשה, או נמנע שלא כדין מעשות מעשה שמחובתו לעשותו, בכוונה לגרום למותו של אדם, והמעשה או המחדל עלולים מטבעם לסכן חיי אדם</w:t>
      </w:r>
      <w:r>
        <w:rPr>
          <w:rFonts w:ascii="David" w:hAnsi="David"/>
          <w:rtl/>
        </w:rPr>
        <w:t>".</w:t>
      </w:r>
    </w:p>
    <w:p w:rsidR="00097EAE" w:rsidRDefault="00097EAE" w:rsidP="00097EAE">
      <w:pPr>
        <w:spacing w:line="360" w:lineRule="auto"/>
        <w:jc w:val="both"/>
        <w:rPr>
          <w:rFonts w:ascii="David" w:hAnsi="David"/>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lastRenderedPageBreak/>
        <w:t>הגם שמדובר בעבירה עצמאית, על עבירת הניסיון לרצח חלות הוראות החלק הכללי של חוק העונשין, ובכלל זה סעיף 25 לחוק המגדיר ניסיון:</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rtl/>
        </w:rPr>
        <w:t>"</w:t>
      </w:r>
      <w:r>
        <w:rPr>
          <w:rFonts w:ascii="David" w:hAnsi="David"/>
          <w:b/>
          <w:bCs/>
          <w:rtl/>
        </w:rPr>
        <w:t>אדם מנסה לעבור עבירה אם, במטרה לבצעה, עשה מעשה שאין בו הכנה בלבד והעבירה לא הושלמה</w:t>
      </w:r>
      <w:r>
        <w:rPr>
          <w:rFonts w:ascii="David" w:hAnsi="David"/>
          <w:rtl/>
        </w:rPr>
        <w:t>".</w:t>
      </w:r>
    </w:p>
    <w:p w:rsidR="00097EAE" w:rsidRDefault="00097EAE" w:rsidP="00097EAE">
      <w:pPr>
        <w:spacing w:line="360" w:lineRule="auto"/>
        <w:jc w:val="both"/>
        <w:rPr>
          <w:rFonts w:ascii="David" w:hAnsi="David"/>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u w:val="single"/>
          <w:rtl/>
        </w:rPr>
        <w:t>לגבי היסוד העובדתי</w:t>
      </w:r>
      <w:r>
        <w:rPr>
          <w:rFonts w:ascii="David" w:hAnsi="David" w:cs="David"/>
          <w:sz w:val="24"/>
          <w:szCs w:val="24"/>
          <w:rtl/>
        </w:rPr>
        <w:t>, הלכה היא כי "</w:t>
      </w:r>
      <w:r>
        <w:rPr>
          <w:rFonts w:ascii="David" w:hAnsi="David" w:cs="David"/>
          <w:b/>
          <w:bCs/>
          <w:sz w:val="24"/>
          <w:szCs w:val="24"/>
          <w:rtl/>
        </w:rPr>
        <w:t>היסוד העובדתי של עבירת הניסיון מחייב אפוא עשיית מעשה שהוא חוליה במעשים המתבצעים לקראת השגת העבירה המושלמת, מעשה היוצא מגדר הכנה ומקדם את המבצע לקראת השלמת העבירה שלביצועה הוא שואף</w:t>
      </w:r>
      <w:r>
        <w:rPr>
          <w:rFonts w:ascii="David" w:hAnsi="David" w:cs="David"/>
          <w:sz w:val="24"/>
          <w:szCs w:val="24"/>
          <w:rtl/>
        </w:rPr>
        <w:t xml:space="preserve">" (ע"פ 1639/98 </w:t>
      </w:r>
      <w:r>
        <w:rPr>
          <w:rFonts w:ascii="Miriam" w:hAnsi="Miriam" w:cs="Miriam"/>
          <w:sz w:val="24"/>
          <w:szCs w:val="24"/>
          <w:rtl/>
        </w:rPr>
        <w:t>דהן נ' מדינת ישראל</w:t>
      </w:r>
      <w:r>
        <w:rPr>
          <w:rFonts w:ascii="David" w:hAnsi="David" w:cs="David"/>
          <w:sz w:val="24"/>
          <w:szCs w:val="24"/>
          <w:rtl/>
        </w:rPr>
        <w:t xml:space="preserve"> (18.6.21));</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2A5862">
      <w:pPr>
        <w:pStyle w:val="aa"/>
        <w:spacing w:after="0" w:line="360" w:lineRule="auto"/>
        <w:ind w:left="0"/>
        <w:jc w:val="both"/>
        <w:rPr>
          <w:rFonts w:ascii="David" w:hAnsi="David" w:cs="David"/>
          <w:sz w:val="24"/>
          <w:szCs w:val="24"/>
          <w:rtl/>
        </w:rPr>
      </w:pPr>
      <w:r>
        <w:rPr>
          <w:rFonts w:ascii="David" w:hAnsi="David" w:cs="David"/>
          <w:sz w:val="24"/>
          <w:szCs w:val="24"/>
          <w:u w:val="single"/>
          <w:rtl/>
        </w:rPr>
        <w:t>ולגבי היסוד הנפשי</w:t>
      </w:r>
      <w:r>
        <w:rPr>
          <w:rFonts w:ascii="David" w:hAnsi="David" w:cs="David"/>
          <w:sz w:val="24"/>
          <w:szCs w:val="24"/>
          <w:rtl/>
        </w:rPr>
        <w:t xml:space="preserve">, יש להוכיח כי הנאשם היה מודע למעשיו וכי התגבשה אצלו כוונה (הן כי צפה והן כי חפץ) להרוג את המתלונן, זאת במובחן מכוונה לפגוע בו או לבצע בו מעשה אלימות אחר (ר' בנדון </w:t>
      </w:r>
      <w:hyperlink r:id="rId9" w:history="1">
        <w:r w:rsidRPr="002A5862">
          <w:rPr>
            <w:rStyle w:val="Hyperlink"/>
            <w:rFonts w:ascii="David" w:hAnsi="David" w:cs="David"/>
            <w:color w:val="auto"/>
            <w:sz w:val="24"/>
            <w:szCs w:val="24"/>
            <w:u w:val="none"/>
            <w:rtl/>
          </w:rPr>
          <w:t>ע"פ 6908/10</w:t>
        </w:r>
      </w:hyperlink>
      <w:r w:rsidRPr="002A5862">
        <w:rPr>
          <w:rFonts w:ascii="David" w:hAnsi="David" w:cs="David"/>
          <w:sz w:val="24"/>
          <w:szCs w:val="24"/>
          <w:rtl/>
        </w:rPr>
        <w:t xml:space="preserve"> </w:t>
      </w:r>
      <w:r w:rsidRPr="002A5862">
        <w:rPr>
          <w:rFonts w:ascii="Miriam" w:hAnsi="Miriam" w:cs="Miriam"/>
          <w:sz w:val="24"/>
          <w:szCs w:val="24"/>
          <w:rtl/>
        </w:rPr>
        <w:t>רן דוד נ' מדינת ישראל</w:t>
      </w:r>
      <w:r w:rsidRPr="002A5862">
        <w:rPr>
          <w:rFonts w:ascii="David" w:hAnsi="David" w:cs="David"/>
          <w:sz w:val="24"/>
          <w:szCs w:val="24"/>
          <w:rtl/>
        </w:rPr>
        <w:t xml:space="preserve">, פסקה 19 (2.1.13); ע"פ 4523/14 </w:t>
      </w:r>
      <w:r w:rsidRPr="002A5862">
        <w:rPr>
          <w:rFonts w:ascii="Miriam" w:hAnsi="Miriam" w:cs="Miriam"/>
          <w:sz w:val="24"/>
          <w:szCs w:val="24"/>
          <w:rtl/>
        </w:rPr>
        <w:t>חלילי נ' מדינת ישראל</w:t>
      </w:r>
      <w:r w:rsidRPr="002A5862">
        <w:rPr>
          <w:rFonts w:ascii="David" w:hAnsi="David" w:cs="David"/>
          <w:sz w:val="24"/>
          <w:szCs w:val="24"/>
          <w:rtl/>
        </w:rPr>
        <w:t xml:space="preserve">, </w:t>
      </w:r>
      <w:r>
        <w:rPr>
          <w:rFonts w:ascii="David" w:hAnsi="David" w:cs="David"/>
          <w:sz w:val="24"/>
          <w:szCs w:val="24"/>
          <w:rtl/>
        </w:rPr>
        <w:t xml:space="preserve">פסקה 28 (20.1.2016)). התייחסות נוספת בהקשר ליסוד הנפשי תובא גם בהמשך.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u w:val="single"/>
          <w:rtl/>
        </w:rPr>
        <w:t>באשר ליסוד העובדתי</w:t>
      </w:r>
      <w:r>
        <w:rPr>
          <w:rFonts w:ascii="David" w:hAnsi="David" w:cs="David"/>
          <w:sz w:val="24"/>
          <w:szCs w:val="24"/>
          <w:rtl/>
        </w:rPr>
        <w:t xml:space="preserve">, דומני שלא יכול להיות חולק כי </w:t>
      </w:r>
      <w:r>
        <w:rPr>
          <w:rFonts w:ascii="David" w:hAnsi="David" w:cs="David"/>
          <w:sz w:val="24"/>
          <w:szCs w:val="24"/>
          <w:u w:val="single"/>
          <w:rtl/>
        </w:rPr>
        <w:t>הטחת מקל, ולו מעץ, לעבר ראשו של אדם השרוע על הקרקע פצוע וחסר אונים</w:t>
      </w:r>
      <w:r>
        <w:rPr>
          <w:rFonts w:ascii="David" w:hAnsi="David" w:cs="David"/>
          <w:sz w:val="24"/>
          <w:szCs w:val="24"/>
          <w:rtl/>
        </w:rPr>
        <w:t xml:space="preserve"> יכול ותקיים את היסוד העובדתי. ליבת המחלוקת היא בנוגע ליסוד הנפשי שקינן בנאשם בשעת המעשה.</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u w:val="single"/>
          <w:rtl/>
        </w:rPr>
        <w:t>ובאשר ליסוד הנפשי</w:t>
      </w:r>
      <w:r>
        <w:rPr>
          <w:rFonts w:ascii="David" w:hAnsi="David" w:cs="David"/>
          <w:sz w:val="24"/>
          <w:szCs w:val="24"/>
          <w:rtl/>
        </w:rPr>
        <w:t>, נוכח הקושי להתחקות אחר נבכי נפשו של אדם, פותחה בפסיקה "</w:t>
      </w:r>
      <w:r>
        <w:rPr>
          <w:rFonts w:ascii="David" w:hAnsi="David" w:cs="David"/>
          <w:b/>
          <w:bCs/>
          <w:sz w:val="24"/>
          <w:szCs w:val="24"/>
          <w:rtl/>
        </w:rPr>
        <w:t>חזקת הכוונה</w:t>
      </w:r>
      <w:r>
        <w:rPr>
          <w:rFonts w:ascii="David" w:hAnsi="David" w:cs="David"/>
          <w:sz w:val="24"/>
          <w:szCs w:val="24"/>
          <w:rtl/>
        </w:rPr>
        <w:t xml:space="preserve">". מדובר בחזקה עובדתית-ראייתית הניתנת לסתירה ולפיה חזקה על אדם שהוא מתכוון לתוצאות הטבעיות הנובעות ממעשיו. חזקה זו </w:t>
      </w:r>
      <w:r>
        <w:rPr>
          <w:rFonts w:ascii="David" w:hAnsi="David" w:cs="David"/>
          <w:sz w:val="24"/>
          <w:szCs w:val="24"/>
          <w:u w:val="single"/>
          <w:rtl/>
        </w:rPr>
        <w:t>כוחה יפה גם בעבירת הניסיון לרצח</w:t>
      </w:r>
      <w:r>
        <w:rPr>
          <w:rFonts w:ascii="David" w:hAnsi="David" w:cs="David"/>
          <w:sz w:val="24"/>
          <w:szCs w:val="24"/>
          <w:rtl/>
        </w:rPr>
        <w:t xml:space="preserve">, כאשר נעשה מעשה שעשוי היה לגרום לתוצאה הקטלנית, גם אם מסיבות שאינן תלויות בנאשם תוצאה זו נמנעה לבסוף (ע"פ 10025/16 </w:t>
      </w:r>
      <w:r>
        <w:rPr>
          <w:rFonts w:ascii="Miriam" w:hAnsi="Miriam" w:cs="Miriam"/>
          <w:sz w:val="24"/>
          <w:szCs w:val="24"/>
          <w:rtl/>
        </w:rPr>
        <w:t>פלוני נ' מדינת ישראל,</w:t>
      </w:r>
      <w:r>
        <w:rPr>
          <w:rFonts w:ascii="David" w:hAnsi="David" w:cs="David"/>
          <w:sz w:val="24"/>
          <w:szCs w:val="24"/>
          <w:rtl/>
        </w:rPr>
        <w:t xml:space="preserve"> פסקה 23 (10.8.18)). </w:t>
      </w:r>
    </w:p>
    <w:p w:rsidR="00097EAE" w:rsidRDefault="00097EAE" w:rsidP="00097EAE">
      <w:pPr>
        <w:pStyle w:val="aa"/>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בפסיקה פותחו מספר מבחני עזר המסייעים בגיבוש הכרעה בשאלת התקיימותה של החזקה. בין אלה ניתן למנות את - אופן ביצוע העבירה; האמצעי ששימש לשם ביצוע העבירה; חילופי דברים שנאמרו לפני ביצוע המעשה; מיקום הפגיעה בגופו של הקורבן; התנהגות הנאשם לפני ביצוע המעשה ולאחריו, ועוד (ע"פ 7090/15 </w:t>
      </w:r>
      <w:r>
        <w:rPr>
          <w:rFonts w:ascii="Miriam" w:hAnsi="Miriam" w:cs="Miriam"/>
          <w:sz w:val="24"/>
          <w:szCs w:val="24"/>
          <w:rtl/>
        </w:rPr>
        <w:t>ח'ליפה נ' מדינת ישראל</w:t>
      </w:r>
      <w:r>
        <w:rPr>
          <w:rFonts w:ascii="David" w:hAnsi="David" w:cs="David"/>
          <w:sz w:val="24"/>
          <w:szCs w:val="24"/>
          <w:rtl/>
        </w:rPr>
        <w:t xml:space="preserve"> (25.8.2016); ע"פ 3647/15 </w:t>
      </w:r>
      <w:r>
        <w:rPr>
          <w:rFonts w:ascii="Miriam" w:hAnsi="Miriam" w:cs="Miriam"/>
          <w:sz w:val="24"/>
          <w:szCs w:val="24"/>
          <w:rtl/>
        </w:rPr>
        <w:t>אלעאסם נ' מדינת ישראל</w:t>
      </w:r>
      <w:r>
        <w:rPr>
          <w:rFonts w:ascii="David" w:hAnsi="David" w:cs="David"/>
          <w:sz w:val="24"/>
          <w:szCs w:val="24"/>
          <w:rtl/>
        </w:rPr>
        <w:t xml:space="preserve">  (29.3.17)).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lastRenderedPageBreak/>
        <w:t xml:space="preserve">זאת ועוד, קביעת היסוד הנפשי נקבעת לא רק על פי מבחני העזר לעיל אלא – והדברים נכונים במיוחד בענייננו – </w:t>
      </w:r>
      <w:r>
        <w:rPr>
          <w:rFonts w:ascii="David" w:hAnsi="David" w:cs="David"/>
          <w:sz w:val="24"/>
          <w:szCs w:val="24"/>
          <w:u w:val="single"/>
          <w:rtl/>
        </w:rPr>
        <w:t>על פי מכלול הראיות</w:t>
      </w:r>
      <w:r>
        <w:rPr>
          <w:rFonts w:ascii="David" w:hAnsi="David" w:cs="David"/>
          <w:sz w:val="24"/>
          <w:szCs w:val="24"/>
          <w:rtl/>
        </w:rPr>
        <w:t xml:space="preserve">. אפנה בהקשר זה לאמור בע"פ 355/88‏ </w:t>
      </w:r>
      <w:r>
        <w:rPr>
          <w:rFonts w:ascii="Miriam" w:hAnsi="Miriam" w:cs="Miriam"/>
          <w:sz w:val="24"/>
          <w:szCs w:val="24"/>
          <w:rtl/>
        </w:rPr>
        <w:t>לוי</w:t>
      </w:r>
      <w:r>
        <w:rPr>
          <w:rFonts w:ascii="Miriam" w:hAnsi="Miriam" w:cs="Miriam"/>
          <w:sz w:val="24"/>
          <w:szCs w:val="24"/>
          <w:cs/>
        </w:rPr>
        <w:t>‎</w:t>
      </w:r>
      <w:r>
        <w:rPr>
          <w:rFonts w:ascii="Miriam" w:hAnsi="Miriam" w:cs="Miriam"/>
          <w:sz w:val="24"/>
          <w:szCs w:val="24"/>
        </w:rPr>
        <w:t xml:space="preserve"> </w:t>
      </w:r>
      <w:r>
        <w:rPr>
          <w:rFonts w:ascii="Miriam" w:hAnsi="Miriam" w:cs="Miriam"/>
          <w:sz w:val="24"/>
          <w:szCs w:val="24"/>
          <w:cs/>
        </w:rPr>
        <w:t>‎</w:t>
      </w:r>
      <w:r>
        <w:rPr>
          <w:rFonts w:ascii="Miriam" w:hAnsi="Miriam" w:cs="Miriam"/>
          <w:sz w:val="24"/>
          <w:szCs w:val="24"/>
          <w:rtl/>
        </w:rPr>
        <w:t>נ' מדינת ישראל</w:t>
      </w:r>
      <w:r>
        <w:rPr>
          <w:rFonts w:ascii="David" w:hAnsi="David" w:cs="David"/>
          <w:sz w:val="24"/>
          <w:szCs w:val="24"/>
          <w:rtl/>
        </w:rPr>
        <w:t>, פ"ד מג(3) 221, 234-235:</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b/>
          <w:bCs/>
          <w:sz w:val="24"/>
          <w:szCs w:val="24"/>
          <w:rtl/>
        </w:rPr>
      </w:pPr>
      <w:r>
        <w:rPr>
          <w:rFonts w:ascii="David" w:hAnsi="David" w:cs="David"/>
          <w:b/>
          <w:bCs/>
          <w:sz w:val="24"/>
          <w:szCs w:val="24"/>
          <w:rtl/>
        </w:rPr>
        <w:t xml:space="preserve">"כאשר באים לבחון, בתום גיבוש הראיות, האם הוכח היסוד הנפשי, ייתן השופט את דעתו למכלול הראיות ויסיק את המסקנות המתבקשות על-פי הגיון הדברים, הפרשנות הנאותה של ההתרחשויות, מידת האמון שניתן לייחס לעד זה או אחר או לראיה פלונית, והכול על-פי מיטב שפיטתו של השופט המנוסה, הרואה את העדים, הסוקר את הראיות, המתרשם מהפרשה כפי שהיא נחשפת נגד עיניו והמשתמש בהגיונו הבריא ובניסיונו השיפוטי כדי לבור את המוץ מן הבר ולהגיע לחקר האמת" </w:t>
      </w:r>
    </w:p>
    <w:p w:rsidR="00097EAE" w:rsidRDefault="00097EAE" w:rsidP="00097EAE">
      <w:pPr>
        <w:spacing w:line="360" w:lineRule="auto"/>
        <w:jc w:val="both"/>
        <w:rPr>
          <w:rFonts w:ascii="David" w:hAnsi="David"/>
        </w:rPr>
      </w:pPr>
    </w:p>
    <w:p w:rsidR="00097EAE" w:rsidRDefault="00097EAE" w:rsidP="00097EAE">
      <w:pPr>
        <w:pStyle w:val="aa"/>
        <w:numPr>
          <w:ilvl w:val="0"/>
          <w:numId w:val="7"/>
        </w:numPr>
        <w:spacing w:after="0" w:line="360" w:lineRule="auto"/>
        <w:ind w:left="0"/>
        <w:jc w:val="both"/>
        <w:rPr>
          <w:rFonts w:ascii="David" w:hAnsi="David" w:cs="David"/>
          <w:sz w:val="24"/>
          <w:szCs w:val="24"/>
          <w:rtl/>
        </w:rPr>
      </w:pPr>
      <w:r>
        <w:rPr>
          <w:rFonts w:ascii="David" w:hAnsi="David" w:cs="David"/>
          <w:b/>
          <w:bCs/>
          <w:sz w:val="24"/>
          <w:szCs w:val="24"/>
          <w:rtl/>
        </w:rPr>
        <w:t>שקילת ובחינת כלל נתוני האירוע, תוך התרשמות בלתי אמצעית מכלל העדים ובפרט מהנאשם עצמו, הביא אותי למסקנה המאשימה הוכיחה מעבר לכל ספק סביר שהנאשם ניסה לרצוח את המתלונן</w:t>
      </w:r>
      <w:r>
        <w:rPr>
          <w:rFonts w:ascii="David" w:hAnsi="David" w:cs="David"/>
          <w:sz w:val="24"/>
          <w:szCs w:val="24"/>
          <w:rtl/>
        </w:rPr>
        <w:t xml:space="preserve"> – </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u w:val="single"/>
          <w:rtl/>
        </w:rPr>
        <w:t>ראשית</w:t>
      </w:r>
      <w:r>
        <w:rPr>
          <w:rFonts w:ascii="David" w:hAnsi="David" w:cs="David"/>
          <w:sz w:val="24"/>
          <w:szCs w:val="24"/>
          <w:rtl/>
        </w:rPr>
        <w:t xml:space="preserve">, לא בכדי עמדנו לעיל על הרקע לאירוע. אין כוונתי רק לשניות עובר להכאתו של המתלונן על ידי הנאשם ויתר הפורעים </w:t>
      </w:r>
      <w:r>
        <w:rPr>
          <w:rFonts w:ascii="David" w:hAnsi="David" w:cs="David"/>
          <w:sz w:val="24"/>
          <w:szCs w:val="24"/>
          <w:u w:val="single"/>
          <w:rtl/>
        </w:rPr>
        <w:t>אלא לכל אירועי אותו יום</w:t>
      </w:r>
      <w:r>
        <w:rPr>
          <w:rFonts w:ascii="David" w:hAnsi="David" w:cs="David"/>
          <w:sz w:val="24"/>
          <w:szCs w:val="24"/>
          <w:rtl/>
        </w:rPr>
        <w:t xml:space="preserve">, להלך הנפש עמו יצא הנאשם את ביתו, </w:t>
      </w:r>
      <w:r>
        <w:rPr>
          <w:rFonts w:ascii="David" w:hAnsi="David" w:cs="David"/>
          <w:b/>
          <w:bCs/>
          <w:sz w:val="24"/>
          <w:szCs w:val="24"/>
          <w:rtl/>
        </w:rPr>
        <w:t>שלוותה ולובתה במניעים דתיים-לאומניים</w:t>
      </w:r>
      <w:r>
        <w:rPr>
          <w:rFonts w:ascii="David" w:hAnsi="David" w:cs="David"/>
          <w:sz w:val="24"/>
          <w:szCs w:val="24"/>
          <w:rtl/>
        </w:rPr>
        <w:t>;</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u w:val="single"/>
          <w:rtl/>
        </w:rPr>
        <w:t>שנית ובהמשך לעיל</w:t>
      </w:r>
      <w:r>
        <w:rPr>
          <w:rFonts w:ascii="David" w:hAnsi="David" w:cs="David"/>
          <w:sz w:val="24"/>
          <w:szCs w:val="24"/>
          <w:rtl/>
        </w:rPr>
        <w:t xml:space="preserve">, גם מעשיו </w:t>
      </w:r>
      <w:r>
        <w:rPr>
          <w:rFonts w:ascii="David" w:hAnsi="David" w:cs="David"/>
          <w:sz w:val="24"/>
          <w:szCs w:val="24"/>
          <w:u w:val="single"/>
          <w:rtl/>
        </w:rPr>
        <w:t>עובר להגעתו לזירה</w:t>
      </w:r>
      <w:r>
        <w:rPr>
          <w:rFonts w:ascii="David" w:hAnsi="David" w:cs="David"/>
          <w:sz w:val="24"/>
          <w:szCs w:val="24"/>
          <w:rtl/>
        </w:rPr>
        <w:t xml:space="preserve"> השתלבו באותו </w:t>
      </w:r>
      <w:r>
        <w:rPr>
          <w:rFonts w:ascii="David" w:hAnsi="David" w:cs="David"/>
          <w:b/>
          <w:bCs/>
          <w:sz w:val="24"/>
          <w:szCs w:val="24"/>
          <w:rtl/>
        </w:rPr>
        <w:t>ברצון להגיע לעימות ולביצוע מעשי אלימות כלפי גוף ורכוש</w:t>
      </w:r>
      <w:r>
        <w:rPr>
          <w:rFonts w:ascii="David" w:hAnsi="David" w:cs="David"/>
          <w:sz w:val="24"/>
          <w:szCs w:val="24"/>
          <w:rtl/>
        </w:rPr>
        <w:t xml:space="preserve">. ויודגש, נימוק זה, כמו גם הקודם, אינו מוליך בהכרח ליסוד נפשי של ניסיון רצח, אך סבורני כי מדובר בראיות נסיבתיות המצביעות כאמור על </w:t>
      </w:r>
      <w:r>
        <w:rPr>
          <w:rFonts w:ascii="David" w:hAnsi="David" w:cs="David"/>
          <w:b/>
          <w:bCs/>
          <w:sz w:val="24"/>
          <w:szCs w:val="24"/>
          <w:rtl/>
        </w:rPr>
        <w:t>רצונו של הנאשם לפרוק זעמו באמצעים אלימים</w:t>
      </w:r>
      <w:r>
        <w:rPr>
          <w:rFonts w:ascii="David" w:hAnsi="David" w:cs="David"/>
          <w:sz w:val="24"/>
          <w:szCs w:val="24"/>
          <w:rtl/>
        </w:rPr>
        <w:t xml:space="preserve">, </w:t>
      </w:r>
      <w:r>
        <w:rPr>
          <w:rFonts w:ascii="David" w:hAnsi="David" w:cs="David"/>
          <w:b/>
          <w:bCs/>
          <w:sz w:val="24"/>
          <w:szCs w:val="24"/>
          <w:rtl/>
        </w:rPr>
        <w:t>כפי שעשה בפועל כבר בשלבים המוקדמים של אותו יום עוד טרם שהיכה את המתלונן</w:t>
      </w:r>
      <w:r>
        <w:rPr>
          <w:rFonts w:ascii="David" w:hAnsi="David" w:cs="David"/>
          <w:sz w:val="24"/>
          <w:szCs w:val="24"/>
          <w:rtl/>
        </w:rPr>
        <w:t xml:space="preserve"> - בזריקת אבנים לעבר המשטרה, במעשיו בהקשר לחומר ההצתה, במעבר בין מספר מוקדי עימות (או כאלה שסבר שיהיו בהם עימותים) ובהגעתו לצומת המדובר והצטרפותו לפורעים שחסמו את אותו צומת; </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u w:val="single"/>
          <w:rtl/>
        </w:rPr>
        <w:t>שלישית</w:t>
      </w:r>
      <w:r>
        <w:rPr>
          <w:rFonts w:ascii="David" w:hAnsi="David"/>
          <w:rtl/>
        </w:rPr>
        <w:t xml:space="preserve">, </w:t>
      </w:r>
      <w:r>
        <w:rPr>
          <w:rFonts w:ascii="David" w:hAnsi="David"/>
          <w:b/>
          <w:bCs/>
          <w:rtl/>
        </w:rPr>
        <w:t>היותו של הנאשם חלק מהמון המתפרעים שתקפו יחד את המתלונן</w:t>
      </w:r>
      <w:r>
        <w:rPr>
          <w:rFonts w:ascii="David" w:hAnsi="David"/>
          <w:rtl/>
        </w:rPr>
        <w:t xml:space="preserve">. העבירות בענייננו מיוחסות לנאשם </w:t>
      </w:r>
      <w:r>
        <w:rPr>
          <w:rFonts w:ascii="David" w:hAnsi="David"/>
          <w:u w:val="single"/>
          <w:rtl/>
        </w:rPr>
        <w:t>כמבצע בצוותא</w:t>
      </w:r>
      <w:r>
        <w:rPr>
          <w:rFonts w:ascii="David" w:hAnsi="David"/>
          <w:rtl/>
        </w:rPr>
        <w:t xml:space="preserve">. </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rtl/>
        </w:rPr>
        <w:t xml:space="preserve">נתתי דעתי לכך כי יש להתייחס בזהירות לשיקול זה במובן זה שהגם שלצורך ביצוע בצוותא בשותפות ספונטנית לא נדרש תיאום מוקדם בין המשתתפים, והגם שחלקו של כל משתתף לא חייב להיות זהה, </w:t>
      </w:r>
      <w:r>
        <w:rPr>
          <w:rFonts w:ascii="David" w:hAnsi="David"/>
          <w:u w:val="single"/>
          <w:rtl/>
        </w:rPr>
        <w:t>דרישת יסוד היא שגם ה"שותף הספונטני" צריך להיות שותף למחשבה הפלילית שבעבירה</w:t>
      </w:r>
      <w:r>
        <w:rPr>
          <w:rFonts w:ascii="David" w:hAnsi="David"/>
          <w:rtl/>
        </w:rPr>
        <w:t xml:space="preserve"> (ר' בנדון </w:t>
      </w:r>
      <w:r>
        <w:rPr>
          <w:rFonts w:ascii="David" w:hAnsi="David"/>
          <w:rtl/>
        </w:rPr>
        <w:lastRenderedPageBreak/>
        <w:t xml:space="preserve">האמור בע"פ 807/99 </w:t>
      </w:r>
      <w:r>
        <w:rPr>
          <w:rFonts w:ascii="Miriam" w:hAnsi="Miriam" w:cs="Miriam"/>
          <w:rtl/>
        </w:rPr>
        <w:t>מדינת ישראל נ' עזיזיאן</w:t>
      </w:r>
      <w:r>
        <w:rPr>
          <w:rFonts w:ascii="David" w:hAnsi="David"/>
          <w:rtl/>
        </w:rPr>
        <w:t xml:space="preserve"> פ"ד נג(5) 747; ע"פ 193/14 </w:t>
      </w:r>
      <w:r>
        <w:rPr>
          <w:rFonts w:ascii="Miriam" w:hAnsi="Miriam" w:cs="Miriam"/>
          <w:rtl/>
        </w:rPr>
        <w:t>נסראללה נ' מדינת ישראל</w:t>
      </w:r>
      <w:r>
        <w:rPr>
          <w:rFonts w:ascii="David" w:hAnsi="David"/>
          <w:rtl/>
        </w:rPr>
        <w:t>, פסקאות 32-36 (26.10.2014)).</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rtl/>
        </w:rPr>
        <w:t xml:space="preserve">ודוק, בענייננו אין מדובר במקרה בו נטען כי נאשם שימש עם אחרים כמבצע (ספונטני) בצוותא על אף שלא ביצע חלק ממשי של היסוד הפיזי של העבירה, או שחלקו הפיזי היה מצומצם ביותר. </w:t>
      </w:r>
      <w:r>
        <w:rPr>
          <w:rFonts w:ascii="David" w:hAnsi="David"/>
          <w:u w:val="single"/>
          <w:rtl/>
        </w:rPr>
        <w:t>מדובר במי שלקח חלק פעיל גם בהכאתו הפיזית של המתלונן, ולא "סתם" הכאה אלא בראשו של האחרון, כאשר הוא מחוסר יכולת התגוננות, שרוע פצוע על הקרקע, וזאת במקביל למתפרעים נוספים, כשהוא מודע ל"השתלבותו" במעשיהם</w:t>
      </w:r>
      <w:r>
        <w:rPr>
          <w:rFonts w:ascii="David" w:hAnsi="David"/>
          <w:rtl/>
        </w:rPr>
        <w:t xml:space="preserve">. </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rtl/>
        </w:rPr>
        <w:t xml:space="preserve">במילים אחרות, לו, לדוגמה, היה מוכח שהנאשם "רק" בעט או היכה בפלג גופו התחתון של המתלונן בעוד אחרים חבטו בראשו, ניתן היה אולי לטעון כי הנאשם ביקש רק לחבול בו. זאת ועוד, הנאשם אישר בדבריו שלו, כי הבחין במתפרעים נוספים, לצדו וגם לפני ואחריו, כשהם מכים את המתלונן – הן בעת שהאחרון ברח מרכבו והן בעת שהיה שרוע על הארץ - בבעיטות, ועם אבנים ומקלות (ר' בנדון לדוגמה עדות הנאשם מיום 6.10.22 עמ' 100-105). הנאשם תיאר כי הוא </w:t>
      </w:r>
      <w:r>
        <w:rPr>
          <w:rFonts w:ascii="David" w:hAnsi="David"/>
          <w:u w:val="single"/>
          <w:rtl/>
        </w:rPr>
        <w:t>הצטרף אליהם</w:t>
      </w:r>
      <w:r>
        <w:rPr>
          <w:rFonts w:ascii="David" w:hAnsi="David"/>
          <w:rtl/>
        </w:rPr>
        <w:t xml:space="preserve"> באותה מכת מקל עליה נרחיב להלן. </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b/>
          <w:bCs/>
          <w:rtl/>
        </w:rPr>
        <w:t>משכך, הנאשם נטל חלק עם אחרים כשהוא מודע לעצם הביצוע בצוותא, וכשהוא מודע לכך שהוא תורם את חלקו על מנת להגשים את המטרה המשותפת של לפחות חלק מאותו המון, שכפי שנראה בבירור בסרטונים אליהם הפנינו, תקפו באופן קשה את המתלונן</w:t>
      </w:r>
      <w:r>
        <w:rPr>
          <w:rFonts w:ascii="David" w:hAnsi="David"/>
          <w:rtl/>
        </w:rPr>
        <w:t xml:space="preserve">. </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u w:val="single"/>
          <w:rtl/>
        </w:rPr>
        <w:t>רביעית</w:t>
      </w:r>
      <w:r>
        <w:rPr>
          <w:rFonts w:ascii="David" w:hAnsi="David"/>
          <w:rtl/>
        </w:rPr>
        <w:t xml:space="preserve">, מעשיו של הנאשם בוצעו זמן קצר ביותר לאחר שהוא סבר שמוחמד "הילד" מת כתוצאה מפגיעת רכבו של המתלונן. התייחסתי לעיל לכך כי טענת הנאשם שסבר שהמתלונן דרס </w:t>
      </w:r>
      <w:r>
        <w:rPr>
          <w:rFonts w:ascii="David" w:hAnsi="David"/>
          <w:u w:val="single"/>
          <w:rtl/>
        </w:rPr>
        <w:t>למוות</w:t>
      </w:r>
      <w:r>
        <w:rPr>
          <w:rFonts w:ascii="David" w:hAnsi="David"/>
          <w:rtl/>
        </w:rPr>
        <w:t xml:space="preserve"> את מוחמד ("הילד מת"), מהווה חרב פיפיות מבחינת הנאשם, שכן עלה בבירור, ולו מנקודת מבטו של הנאשם והאופן שבו פעל, שמטרתו היתה </w:t>
      </w:r>
      <w:r>
        <w:rPr>
          <w:rFonts w:ascii="David" w:hAnsi="David"/>
          <w:u w:val="single"/>
          <w:rtl/>
        </w:rPr>
        <w:t>לנקום במתלונן על מעשיו</w:t>
      </w:r>
      <w:r>
        <w:rPr>
          <w:rFonts w:ascii="David" w:hAnsi="David"/>
          <w:rtl/>
        </w:rPr>
        <w:t>. כפי שהורחב לעיל תיאורו היה ממזער ומלאכותי, והעולה ממקבץ הראיות שהובאו לפנינו, ומכלל אמרות הנאשם, כי הנאשם רצה להביא, עם חלק מהאחרים, למות המתלונן.</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u w:val="single"/>
          <w:rtl/>
        </w:rPr>
        <w:t>חמישית</w:t>
      </w:r>
      <w:r>
        <w:rPr>
          <w:rFonts w:ascii="David" w:hAnsi="David"/>
          <w:rtl/>
        </w:rPr>
        <w:t xml:space="preserve">, כלי התקיפה, העובדה שמדובר במכה בודדת, המיקום בגוף המתלונן אליו כוונה התקיפה. </w:t>
      </w:r>
    </w:p>
    <w:p w:rsidR="00097EAE" w:rsidRDefault="00097EAE" w:rsidP="00097EAE">
      <w:pPr>
        <w:spacing w:line="360" w:lineRule="auto"/>
        <w:jc w:val="both"/>
        <w:rPr>
          <w:rFonts w:ascii="David" w:hAnsi="David"/>
          <w:rtl/>
        </w:rPr>
      </w:pPr>
      <w:r>
        <w:rPr>
          <w:rFonts w:ascii="David" w:hAnsi="David"/>
          <w:rtl/>
        </w:rPr>
        <w:t xml:space="preserve">התייחסתי לחלק מנתונים אלה לעיל. ציינתי כי הגם שמדובר במכה בודדת, היא כוונה </w:t>
      </w:r>
      <w:r>
        <w:rPr>
          <w:rFonts w:ascii="David" w:hAnsi="David"/>
          <w:u w:val="single"/>
          <w:rtl/>
        </w:rPr>
        <w:t>לראשו של המתלונן ומדובר היה במכה חזקה</w:t>
      </w:r>
      <w:r>
        <w:rPr>
          <w:rFonts w:ascii="David" w:hAnsi="David"/>
          <w:rtl/>
        </w:rPr>
        <w:t xml:space="preserve">. הנאשם עצמו תיאר את המכה כחזקה (הגם שאז התייחס למכה במקום אחר בגוף) ותיאר שעשה זאת באמצעות מקל שקודם לכן שימש להכות על שמשת רכב המתלונן. עוד ציינתי כי מדובר במכה שהצטרפה למכות וחבטות נוספות בגופו של המתלונן, על ידי </w:t>
      </w:r>
      <w:r>
        <w:rPr>
          <w:rFonts w:ascii="David" w:hAnsi="David"/>
          <w:rtl/>
        </w:rPr>
        <w:lastRenderedPageBreak/>
        <w:t xml:space="preserve">אחרים. לכן, "בידוד" אותה מכה, באופן מלאכותי לטעמי, תוך הפנייה למקרי אלימות "רגילים" בהם נבחן כל רכיב כשלעצמו, אינו מציג את התמונה המלאה והנכונה. </w:t>
      </w:r>
    </w:p>
    <w:p w:rsidR="00097EAE" w:rsidRDefault="00097EAE" w:rsidP="00097EAE">
      <w:pPr>
        <w:spacing w:line="360" w:lineRule="auto"/>
        <w:jc w:val="both"/>
        <w:rPr>
          <w:rFonts w:ascii="David" w:hAnsi="David"/>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זאת ועוד, הנאשם היכה את המתלונן בשלב בו האחרון הופל על הרצפה, כאשר עשרות מתפרעים הכו אותו נמרצות באמצעות בעיטות, אגרופים, מקלות וחפצים שונים. הנאשם ידע את היקף ועוצמת התקיפה, כעולה מגרסתו לפיה בזמן המכה "</w:t>
      </w:r>
      <w:r>
        <w:rPr>
          <w:rFonts w:ascii="David" w:hAnsi="David" w:cs="David"/>
          <w:b/>
          <w:bCs/>
          <w:sz w:val="24"/>
          <w:szCs w:val="24"/>
          <w:rtl/>
        </w:rPr>
        <w:t>היהודי היה שוכב על הגב שלו והבטן למעלה היהודי, היה כולו דם, לא צעק כלום, הנהג היה עם עיניים פתוחות וכל הראש שלו דם.."</w:t>
      </w:r>
      <w:r>
        <w:rPr>
          <w:rFonts w:ascii="David" w:hAnsi="David" w:cs="David"/>
          <w:sz w:val="24"/>
          <w:szCs w:val="24"/>
          <w:rtl/>
        </w:rPr>
        <w:t xml:space="preserve"> (ת/18, חקירת הנאשם מיום 8.6.21, שורות 24-26). מדברים אלה עולה כי הנאשם היה מודע למצבו הקשה של המתלונן ולכך שהוא מצוי בסכנת חיים, אך </w:t>
      </w:r>
      <w:r>
        <w:rPr>
          <w:rFonts w:ascii="David" w:hAnsi="David" w:cs="David"/>
          <w:sz w:val="24"/>
          <w:szCs w:val="24"/>
          <w:u w:val="single"/>
          <w:rtl/>
        </w:rPr>
        <w:t>חרף זאת החליט להכותו בראשו בשלב קריטי זה</w:t>
      </w:r>
      <w:r>
        <w:rPr>
          <w:rFonts w:ascii="David" w:hAnsi="David" w:cs="David"/>
          <w:sz w:val="24"/>
          <w:szCs w:val="24"/>
          <w:rtl/>
        </w:rPr>
        <w:t xml:space="preserve">. במילים אחרות, שונה מצב בו אדם מכה אדם אחר במהלך קטטה </w:t>
      </w:r>
      <w:r>
        <w:rPr>
          <w:rFonts w:ascii="David" w:hAnsi="David" w:cs="David"/>
          <w:sz w:val="24"/>
          <w:szCs w:val="24"/>
          <w:u w:val="single"/>
          <w:rtl/>
        </w:rPr>
        <w:t>הדדית</w:t>
      </w:r>
      <w:r>
        <w:rPr>
          <w:rFonts w:ascii="David" w:hAnsi="David" w:cs="David"/>
          <w:sz w:val="24"/>
          <w:szCs w:val="24"/>
          <w:rtl/>
        </w:rPr>
        <w:t>, לבין מצב כבמקרנו בו היכה הנאשם את המתלונן בראשו, כאשר האחרון במצב הפאסיבי והקשה שתואר לעיל.</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numPr>
          <w:ilvl w:val="0"/>
          <w:numId w:val="7"/>
        </w:numPr>
        <w:spacing w:after="0" w:line="360" w:lineRule="auto"/>
        <w:ind w:left="0"/>
        <w:jc w:val="both"/>
        <w:rPr>
          <w:rFonts w:ascii="David" w:hAnsi="David" w:cs="David"/>
          <w:sz w:val="24"/>
          <w:szCs w:val="24"/>
          <w:rtl/>
        </w:rPr>
      </w:pPr>
      <w:r>
        <w:rPr>
          <w:rFonts w:ascii="David" w:hAnsi="David" w:cs="David"/>
          <w:sz w:val="24"/>
          <w:szCs w:val="24"/>
          <w:rtl/>
        </w:rPr>
        <w:t xml:space="preserve">לא התעלמתי ממספר נתונים וטענות שהעלתה ההגנה, ולשיטתה אמורים להוביל למסקנה שלא התקיימה בנאשם ההחלטה להמית.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כך, הציגה ההגנה הערכה הנסמכת על תכלול של מספר מצלמות אבטחה, ולפיה משך תקיפת המתלונן היה כ 23 שניות בלבד עד להפסקת האלימות (ר' פסקאות 65-69 לסיכומי ההגנה). המאשימה, מנגד, לא העריכה את משך הזמן במדויק וטענה כי תיעוד התקיפה מסרטוני העדה ד' (ת/42) הוא חלקי ומשקף רק חלק מהתקיפה הברוטלית שהתרחשה באותו שלב (פסקה 27 לסיכומי המאשימה).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ברמת ה"שורה התחתונה", הנתון בו נקבה ההגנה, גם אם אינו מדויק לחלוטין שכן אין סרטון אחד רצוף שתיעד את כל האירוע, מקובל עליי. אם כי, איני מקבל את </w:t>
      </w:r>
      <w:r>
        <w:rPr>
          <w:rFonts w:ascii="David" w:hAnsi="David" w:cs="David"/>
          <w:sz w:val="24"/>
          <w:szCs w:val="24"/>
          <w:u w:val="single"/>
          <w:rtl/>
        </w:rPr>
        <w:t>תיאור</w:t>
      </w:r>
      <w:r>
        <w:rPr>
          <w:rFonts w:ascii="David" w:hAnsi="David" w:cs="David"/>
          <w:sz w:val="24"/>
          <w:szCs w:val="24"/>
          <w:rtl/>
        </w:rPr>
        <w:t xml:space="preserve"> ההתרחשות שהובא בסיכומי ההגנה, וכן אציין שאין להניח כי השיח' זכור הורה למתפרעים להפסיק ואלה נשמעו באחת להוראות. כך או כך, משך התקיפה </w:t>
      </w:r>
      <w:r>
        <w:rPr>
          <w:rFonts w:ascii="David" w:hAnsi="David" w:cs="David"/>
          <w:sz w:val="24"/>
          <w:szCs w:val="24"/>
          <w:u w:val="single"/>
          <w:rtl/>
        </w:rPr>
        <w:t>מצאת המתלונן את רכבו</w:t>
      </w:r>
      <w:r>
        <w:rPr>
          <w:rFonts w:ascii="David" w:hAnsi="David" w:cs="David"/>
          <w:sz w:val="24"/>
          <w:szCs w:val="24"/>
          <w:rtl/>
        </w:rPr>
        <w:t xml:space="preserve"> עד שהפורעים הפסיקו לתקפו מוערך על ידי כאמור בכ 25-30 שניות. אוסיף, כי לפרק זה יש </w:t>
      </w:r>
      <w:r>
        <w:rPr>
          <w:rFonts w:ascii="David" w:hAnsi="David" w:cs="David"/>
          <w:sz w:val="24"/>
          <w:szCs w:val="24"/>
          <w:u w:val="single"/>
          <w:rtl/>
        </w:rPr>
        <w:t>להוסיף</w:t>
      </w:r>
      <w:r>
        <w:rPr>
          <w:rFonts w:ascii="David" w:hAnsi="David" w:cs="David"/>
          <w:sz w:val="24"/>
          <w:szCs w:val="24"/>
          <w:rtl/>
        </w:rPr>
        <w:t xml:space="preserve"> את מסכת האלימות שהופעלה כלפי המתלונן עוד כשהיה בתוך רכבו; ועוד אוסיף כי בניגוד לעמדת ההגנה איני סבור שמדובר בפרק זמן קצר, או כזה שהנאשם לא יכול היה לגבש בו כוונה ("רגילה"; "ספונטנית") להביא למותו של המתלונן.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זאת ועוד, שקלתי טיעון אפשרי נוסף והוא שהנאשם ושאר התוקפים לא היו "חדורי מטרה" ברמה הגבוהה ביותר. על פי טיעון זה, אם היו חדורי מטרה לא היו נשמעים להוראותיו של השיח' זכור, וממשיכים ומביאים למותו בפועל של המתלונן. מאידך גיסא – וזו דעתי - מכלל הראיות וכן מהתרשמותי הבלתי אמצעית מהנאשם, עולה כי הלה היה חלק מהמון זועם, על כל מה שמשתמע מכך – כאשר ההמון תקף את המתלונן, הצטרף הנאשם לכך; וכאשר ההמון חדל, חדל גם הנאשם. ייתכן </w:t>
      </w:r>
      <w:r>
        <w:rPr>
          <w:rFonts w:ascii="David" w:hAnsi="David" w:cs="David"/>
          <w:sz w:val="24"/>
          <w:szCs w:val="24"/>
          <w:rtl/>
        </w:rPr>
        <w:lastRenderedPageBreak/>
        <w:t xml:space="preserve">ומדובר בחלק מקווי אישיותו, בהיותו "נגרר"; אין לי את היכולת להעמיק חקר בנפש הנאשם בהקשר זה, ולא פעם באירועים שכאלה כל אלה שנוטלים בו חלק הם "נגררים". נגררים אחר חבריהם, נגררים אחר הלך רוח מסית, ונגררים אחר זעמם. הדבר אינו מפחית מאשמת כל אחד מהם. הנאשם עצמו ציין כי הוא עצמו הספיק להכות את המתלונן מכה אחת לפני שהשיח' עבאס הגיע, ולאחר שהאחרון נעמד סמוך למתלונן וצעק לצעירים להתרחק, הוא (הנאשם) ברח (עמ' 113 לפרוטוקול מיום 6.10.22, שורות 7-9).  עולה אם כן, שהנאשם, לצד רצונו להמית את המתלונן מכל הסיבות והמניעים שתוארו בהרחבה לעיל, </w:t>
      </w:r>
      <w:r>
        <w:rPr>
          <w:rFonts w:ascii="David" w:hAnsi="David" w:cs="David"/>
          <w:sz w:val="24"/>
          <w:szCs w:val="24"/>
          <w:u w:val="single"/>
          <w:rtl/>
        </w:rPr>
        <w:t>גם</w:t>
      </w:r>
      <w:r>
        <w:rPr>
          <w:rFonts w:ascii="David" w:hAnsi="David" w:cs="David"/>
          <w:sz w:val="24"/>
          <w:szCs w:val="24"/>
          <w:rtl/>
        </w:rPr>
        <w:t xml:space="preserve"> היווה חלק מהמון </w:t>
      </w:r>
      <w:r>
        <w:rPr>
          <w:rFonts w:ascii="David" w:hAnsi="David" w:cs="David"/>
          <w:sz w:val="24"/>
          <w:szCs w:val="24"/>
          <w:u w:val="single"/>
          <w:rtl/>
        </w:rPr>
        <w:t>וגם במקביל</w:t>
      </w:r>
      <w:r>
        <w:rPr>
          <w:rFonts w:ascii="David" w:hAnsi="David" w:cs="David"/>
          <w:sz w:val="24"/>
          <w:szCs w:val="24"/>
          <w:rtl/>
        </w:rPr>
        <w:t xml:space="preserve"> פחד וברח עם הגעת גורם סמכותי, ויש להניח שגם ציפה ופחד מהגעת כוח משטרה למקום. האם נתונים אלה מפחיתים במשהו מחלקו העובדתי-משפטי? סבורני שלא. זאת ועוד, מעדות הנאשם בבית המשפט עלה בבירור כי הגורם שהוביל אותו להפסיק את תקיפת המתלונן הוא השיח' זכור.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כמו כן, העובדה שהנאשם ואחרים עזבו את הזירה טרם "השלימו" את ההוצאה לפועל של כוונתם להביא למות המתלונן, ובכך – אליבא להגנה – נחלשת טענת המאשימה בהקשר לכוונת הרצח, גם היא אינה יכולה להתקבל. הפסיקה הכירה, בהקשר למקרי רצח, בקיומה של החלטה להמית גם במקרים בהם הקורבן לא התמוטט על אתר, וגם במקרים בהם הרוצחים עזבו את זירת הרצח בעוד הקורבן בחיים, ואלה מתו רק לאחר מכן. הודגש כי את ההחלטה להמית יש לבחון בעת המעשה עצמו, כמתחייב מעקרון המזיגה. בתי המשפט הפנו לסיבות מגוונות המביאות רוצחים לעזוב את זירת הרצח טרם מות הקורבנות, וביניהן חשש מתפיסה, פחד, בהלה, ועוד (ר' בנדון ע"פ 5964/13 </w:t>
      </w:r>
      <w:r>
        <w:rPr>
          <w:rFonts w:ascii="Miriam" w:hAnsi="Miriam" w:cs="Miriam"/>
          <w:sz w:val="24"/>
          <w:szCs w:val="24"/>
          <w:rtl/>
        </w:rPr>
        <w:t>פרץ נ' מדינת ישראל</w:t>
      </w:r>
      <w:r>
        <w:rPr>
          <w:rFonts w:ascii="David" w:hAnsi="David" w:cs="David"/>
          <w:sz w:val="24"/>
          <w:szCs w:val="24"/>
          <w:rtl/>
        </w:rPr>
        <w:t>, פסקה 29 (1.6.15); ע"פ 2760/14 ‏</w:t>
      </w:r>
      <w:r>
        <w:rPr>
          <w:rFonts w:ascii="Miriam" w:hAnsi="Miriam" w:cs="Miriam"/>
          <w:sz w:val="24"/>
          <w:szCs w:val="24"/>
          <w:rtl/>
        </w:rPr>
        <w:t>עדן אוחיון נ' מדינת ישראל</w:t>
      </w:r>
      <w:r>
        <w:rPr>
          <w:rFonts w:ascii="David" w:hAnsi="David" w:cs="David"/>
          <w:sz w:val="24"/>
          <w:szCs w:val="24"/>
          <w:rtl/>
        </w:rPr>
        <w:t xml:space="preserve">, פסקה 65 (7.10.15); תפ"ח (מחוזי חיפה) 42980-08-18 </w:t>
      </w:r>
      <w:r>
        <w:rPr>
          <w:rFonts w:ascii="Miriam" w:hAnsi="Miriam" w:cs="Miriam"/>
          <w:sz w:val="24"/>
          <w:szCs w:val="24"/>
          <w:rtl/>
        </w:rPr>
        <w:t>מדינת ישראל נ' דדון</w:t>
      </w:r>
      <w:r>
        <w:rPr>
          <w:rFonts w:ascii="David" w:hAnsi="David" w:cs="David"/>
          <w:sz w:val="24"/>
          <w:szCs w:val="24"/>
          <w:rtl/>
        </w:rPr>
        <w:t>, פסקה 276 (25.4.23)).</w:t>
      </w:r>
    </w:p>
    <w:p w:rsidR="00097EAE" w:rsidRDefault="00097EAE" w:rsidP="00097EAE">
      <w:pPr>
        <w:pStyle w:val="aa"/>
        <w:shd w:val="clear" w:color="auto" w:fill="FFFFFF"/>
        <w:tabs>
          <w:tab w:val="left" w:pos="368"/>
          <w:tab w:val="left" w:pos="800"/>
        </w:tabs>
        <w:overflowPunct w:val="0"/>
        <w:autoSpaceDE w:val="0"/>
        <w:autoSpaceDN w:val="0"/>
        <w:adjustRightInd w:val="0"/>
        <w:spacing w:after="0" w:line="360" w:lineRule="auto"/>
        <w:ind w:left="36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עוד הפנתה ההגנה לכך כי על פני הדברים, המתלונן נפל סמוך לצומת שם הותקף כשהוא שכוב על הקרקע כפי שנראה בסרטון 2207 שצילמה העדה ד'; אך בסרטון 8193 נראה כי המתלונן נראה שוכב על הקרקע במיקום </w:t>
      </w:r>
      <w:r>
        <w:rPr>
          <w:rFonts w:ascii="David" w:hAnsi="David" w:cs="David"/>
          <w:sz w:val="24"/>
          <w:szCs w:val="24"/>
          <w:u w:val="single"/>
          <w:rtl/>
        </w:rPr>
        <w:t>אחר</w:t>
      </w:r>
      <w:r>
        <w:rPr>
          <w:rFonts w:ascii="David" w:hAnsi="David" w:cs="David"/>
          <w:sz w:val="24"/>
          <w:szCs w:val="24"/>
          <w:rtl/>
        </w:rPr>
        <w:t xml:space="preserve">, כ 15 מטרים מערבית למיקום הראשון, וקרוב יותר לבית אמו. המיקום השני אף תועד במצלמת הגוף של רס"ב מישל עדי, כשלידו השיח' זכור וגם אנשים נוספים. מכך הסיקה ההגנה שהמתלונן נפגע ונפל על הארץ, אך גם הספיק </w:t>
      </w:r>
      <w:r>
        <w:rPr>
          <w:rFonts w:ascii="David" w:hAnsi="David" w:cs="David"/>
          <w:sz w:val="24"/>
          <w:szCs w:val="24"/>
          <w:u w:val="single"/>
          <w:rtl/>
        </w:rPr>
        <w:t>להתרומם</w:t>
      </w:r>
      <w:r>
        <w:rPr>
          <w:rFonts w:ascii="David" w:hAnsi="David" w:cs="David"/>
          <w:sz w:val="24"/>
          <w:szCs w:val="24"/>
          <w:rtl/>
        </w:rPr>
        <w:t xml:space="preserve"> ללכת או לרוץ כ 15 מטרים נוספים ורק שם התמוטט "סופית" וטופל רפואית. זאת ועוד, נטען כי המתלונן צולם במיקום השני במצלמות הגוף של רס"ב מישל עדי והגם שהיה פצוע, הוא הצליח לתקשר עם השוטר. מכך, ביקשה ההגנה להסיק כי הפגיעה במתלונן במיקום הראשון לא היתה כה חמורה מה שמוליך למסקנה שלנאשם לא היתה כוונה להמיתו; וכן נטען בהקשר זה, כי התקיפה הופסקה ברגע שהמתלונן "עבר" מהמיקום הראשון לשני, ללא קשר להגעתו של השיח' זכור, וגם בכך יש ללמד כי לא היתה לנאשם כוונה להמית את המתלונן. ההגנה טענה בהקשר האחרון שהשיח' זכור הגיע אל המתלונן רק כאשר האחרון היה כבר במיקום השני. </w:t>
      </w:r>
      <w:r>
        <w:rPr>
          <w:rFonts w:ascii="David" w:hAnsi="David" w:cs="David"/>
          <w:sz w:val="24"/>
          <w:szCs w:val="24"/>
          <w:u w:val="single"/>
          <w:rtl/>
        </w:rPr>
        <w:t xml:space="preserve">איני יכול לקבל טיעון זה שעלה לראשונה בסיכומי ההגנה, מבלי </w:t>
      </w:r>
      <w:r>
        <w:rPr>
          <w:rFonts w:ascii="David" w:hAnsi="David" w:cs="David"/>
          <w:sz w:val="24"/>
          <w:szCs w:val="24"/>
          <w:u w:val="single"/>
          <w:rtl/>
        </w:rPr>
        <w:lastRenderedPageBreak/>
        <w:t>שהמתלונן או השיח' זכור נחקרו בהקשר זה</w:t>
      </w:r>
      <w:r>
        <w:rPr>
          <w:rFonts w:ascii="David" w:hAnsi="David" w:cs="David"/>
          <w:sz w:val="24"/>
          <w:szCs w:val="24"/>
          <w:rtl/>
        </w:rPr>
        <w:t xml:space="preserve">. כפי שצוין לעיל, השיח' זכור, תיאר  תקיפה רציפה של המתלונן וכן מסר שהוא היה זה שתרם להפסקת התקיפה. הוא לא נשאל לגבי "תזוזת" המתלונן. מתיאוריהם של המתלונן ושל השיח' זכור, כל אחד בנפרד ושניהם יחדיו וכפי שצוין לעיל, עלה שהאלימות היתה רציפה וללא הפסקות מרגע צאתו של המתלונן את רכבו ועד הגעת השיח' זכור – בין אם הדבר היה במיקום הראשון או </w:t>
      </w:r>
      <w:r>
        <w:rPr>
          <w:rFonts w:ascii="David" w:hAnsi="David" w:cs="David"/>
          <w:sz w:val="24"/>
          <w:szCs w:val="24"/>
          <w:u w:val="single"/>
          <w:rtl/>
        </w:rPr>
        <w:t>גם</w:t>
      </w:r>
      <w:r>
        <w:rPr>
          <w:rFonts w:ascii="David" w:hAnsi="David" w:cs="David"/>
          <w:sz w:val="24"/>
          <w:szCs w:val="24"/>
          <w:rtl/>
        </w:rPr>
        <w:t xml:space="preserve"> בשני. זאת ועוד, </w:t>
      </w:r>
      <w:r>
        <w:rPr>
          <w:rFonts w:ascii="David" w:hAnsi="David" w:cs="David"/>
          <w:sz w:val="24"/>
          <w:szCs w:val="24"/>
          <w:u w:val="single"/>
          <w:rtl/>
        </w:rPr>
        <w:t>הנאשם עצמו</w:t>
      </w:r>
      <w:r>
        <w:rPr>
          <w:rFonts w:ascii="David" w:hAnsi="David" w:cs="David"/>
          <w:sz w:val="24"/>
          <w:szCs w:val="24"/>
          <w:rtl/>
        </w:rPr>
        <w:t xml:space="preserve"> תיאר כי הפסיק את האלימות כנגד המתלונן בעקבות ומשום הגעתו של השיח' זכור. יכולות להיות סיבות שונות למעבר הבלתי מוכחש לעיל של המתלונן (קימתו בשארית כוחותיו בפרץ של אדרנלין ובניסיון נואש להתקרב לבית אמו, או להתרחק מרכבו הבוער, יש לזכור כי מדובר בסה"כ ב"תזוזה" של כ 15 מ'), אך אלה אינן סותרות כאמור את העובדה שמדובר היה בתקיפה רצופה מצד ההמון.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מהאמור לעיל עולה כי המאשימה עמדה בנטל שהוטל עליה להראות כי הנאשם התכוון להביא למות המתלונן. </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numPr>
          <w:ilvl w:val="0"/>
          <w:numId w:val="7"/>
        </w:numPr>
        <w:spacing w:after="0" w:line="360" w:lineRule="auto"/>
        <w:ind w:left="0"/>
        <w:jc w:val="both"/>
        <w:rPr>
          <w:rFonts w:ascii="David" w:hAnsi="David" w:cs="David"/>
          <w:sz w:val="24"/>
          <w:szCs w:val="24"/>
          <w:rtl/>
        </w:rPr>
      </w:pPr>
      <w:r>
        <w:rPr>
          <w:rFonts w:ascii="David" w:hAnsi="David" w:cs="David"/>
          <w:sz w:val="24"/>
          <w:szCs w:val="24"/>
          <w:rtl/>
        </w:rPr>
        <w:t xml:space="preserve">לאחר שקבעתי כי כוונת הנאשם היתה להביא למות המתלונן, אעבור לדיון ביתר (?) רכיבי עבירת ניסיון הרצח. דיון זה הוא תולדה של הרפורמה בעבירות המתה. </w:t>
      </w:r>
    </w:p>
    <w:p w:rsidR="00097EAE" w:rsidRDefault="00097EAE" w:rsidP="00097EAE">
      <w:pPr>
        <w:pStyle w:val="aa"/>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עד לרפורמה, ובהתאם להלכת פלוני (ע"פ 1474/14 </w:t>
      </w:r>
      <w:r>
        <w:rPr>
          <w:rFonts w:ascii="Miriam" w:hAnsi="Miriam" w:cs="Miriam"/>
          <w:sz w:val="24"/>
          <w:szCs w:val="24"/>
          <w:rtl/>
        </w:rPr>
        <w:t>פלוני נ' מדינת ישראל</w:t>
      </w:r>
      <w:r>
        <w:rPr>
          <w:rFonts w:ascii="David" w:hAnsi="David" w:cs="David"/>
          <w:sz w:val="24"/>
          <w:szCs w:val="24"/>
          <w:rtl/>
        </w:rPr>
        <w:t xml:space="preserve"> (15.12.15)) (להלן: </w:t>
      </w:r>
      <w:r>
        <w:rPr>
          <w:rFonts w:ascii="Miriam" w:hAnsi="Miriam" w:cs="Miriam"/>
          <w:sz w:val="24"/>
          <w:szCs w:val="24"/>
          <w:rtl/>
        </w:rPr>
        <w:t>הלכת פלוני</w:t>
      </w:r>
      <w:r>
        <w:rPr>
          <w:rFonts w:ascii="David" w:hAnsi="David" w:cs="David"/>
          <w:sz w:val="24"/>
          <w:szCs w:val="24"/>
          <w:rtl/>
        </w:rPr>
        <w:t xml:space="preserve">) היסוד הנפשי בעבירת הניסיון לרצח כלל 2 רכיבים: הראשון, כוונה או החלטה להמית ("במטרה לבצעה" כקבוע בס' 25 לחוק); והשני, הוכחת </w:t>
      </w:r>
      <w:r>
        <w:rPr>
          <w:rFonts w:ascii="David" w:hAnsi="David" w:cs="David"/>
          <w:sz w:val="24"/>
          <w:szCs w:val="24"/>
          <w:u w:val="single"/>
          <w:rtl/>
        </w:rPr>
        <w:t>היסוד הנפשי הנדרש לעבירה המוגמרת</w:t>
      </w:r>
      <w:r>
        <w:rPr>
          <w:rFonts w:ascii="David" w:hAnsi="David" w:cs="David"/>
          <w:sz w:val="24"/>
          <w:szCs w:val="24"/>
          <w:rtl/>
        </w:rPr>
        <w:t xml:space="preserve">, משמע "כוונה מיוחדת", היינו </w:t>
      </w:r>
      <w:r>
        <w:rPr>
          <w:rFonts w:ascii="David" w:hAnsi="David" w:cs="David"/>
          <w:sz w:val="24"/>
          <w:szCs w:val="24"/>
          <w:u w:val="single"/>
          <w:rtl/>
        </w:rPr>
        <w:t>גם</w:t>
      </w:r>
      <w:r>
        <w:rPr>
          <w:rFonts w:ascii="David" w:hAnsi="David" w:cs="David"/>
          <w:sz w:val="24"/>
          <w:szCs w:val="24"/>
          <w:rtl/>
        </w:rPr>
        <w:t xml:space="preserve"> הכנה והיעדר קינטור - </w:t>
      </w: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 </w:t>
      </w:r>
    </w:p>
    <w:p w:rsidR="00097EAE" w:rsidRDefault="00097EAE" w:rsidP="00097EAE">
      <w:pPr>
        <w:spacing w:line="360" w:lineRule="auto"/>
        <w:jc w:val="both"/>
        <w:rPr>
          <w:rFonts w:ascii="David" w:hAnsi="David"/>
          <w:rtl/>
        </w:rPr>
      </w:pPr>
      <w:r>
        <w:rPr>
          <w:rFonts w:ascii="David" w:hAnsi="David"/>
          <w:rtl/>
        </w:rPr>
        <w:t>"</w:t>
      </w:r>
      <w:r>
        <w:rPr>
          <w:rFonts w:ascii="David" w:hAnsi="David"/>
          <w:b/>
          <w:bCs/>
          <w:rtl/>
        </w:rPr>
        <w:t>במסגרת היסוד הנפשי בעבירת הניסיון לרצח, יהא צורך להוכיח כי התקיימו שלושת חלקיו של היסוד הנפשי בעבירת הרצח, קרי, החלטה להמית; הכנה; והיעדר קנטור. ה"מזל המוסרי" הוא אשר מבדיל בין עבירת הרצח לבין עבירת הניסיון לרצח, ואין כל סיבה להקל בהוכחת היסוד הנפשי, בעבירת הניסיון לרצח</w:t>
      </w:r>
      <w:r>
        <w:rPr>
          <w:rFonts w:ascii="David" w:hAnsi="David"/>
          <w:rtl/>
        </w:rPr>
        <w:t xml:space="preserve">" (הלכת פלוני, פסקה 72). </w:t>
      </w:r>
    </w:p>
    <w:p w:rsidR="00097EAE" w:rsidRDefault="00097EAE" w:rsidP="00097EAE">
      <w:pPr>
        <w:spacing w:line="360" w:lineRule="auto"/>
        <w:jc w:val="both"/>
        <w:rPr>
          <w:rFonts w:ascii="David" w:hAnsi="David"/>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[עד </w:t>
      </w:r>
      <w:r>
        <w:rPr>
          <w:rFonts w:ascii="David" w:hAnsi="David" w:cs="David"/>
          <w:b/>
          <w:bCs/>
          <w:sz w:val="24"/>
          <w:szCs w:val="24"/>
          <w:rtl/>
        </w:rPr>
        <w:t>הלכת פלוני</w:t>
      </w:r>
      <w:r>
        <w:rPr>
          <w:rFonts w:ascii="David" w:hAnsi="David" w:cs="David"/>
          <w:sz w:val="24"/>
          <w:szCs w:val="24"/>
          <w:rtl/>
        </w:rPr>
        <w:t xml:space="preserve"> די היה ב"כוונת קטילה", מבלי שהיה צורך לבחון את כל שלושת היסודות המרכיבים את ה"כוונה תחילה" שנדרשה לשם הרשעה בעבירת הרצח המושלמת (החלטה להמית, הכנה והיעדר קנטור). הלכה זו נקבעה בע"פ 155/59 </w:t>
      </w:r>
      <w:r>
        <w:rPr>
          <w:rFonts w:ascii="Miriam" w:hAnsi="Miriam" w:cs="Miriam"/>
          <w:sz w:val="24"/>
          <w:szCs w:val="24"/>
          <w:rtl/>
        </w:rPr>
        <w:t>דרעי נ' היועץ המשפטי לממשלה</w:t>
      </w:r>
      <w:r>
        <w:rPr>
          <w:rFonts w:ascii="David" w:hAnsi="David" w:cs="David"/>
          <w:sz w:val="24"/>
          <w:szCs w:val="24"/>
          <w:rtl/>
        </w:rPr>
        <w:t xml:space="preserve">, פ"ד יד 233 (1960)]. </w:t>
      </w:r>
    </w:p>
    <w:p w:rsidR="00097EAE" w:rsidRDefault="00097EAE" w:rsidP="00097EAE">
      <w:pPr>
        <w:spacing w:line="360" w:lineRule="auto"/>
        <w:jc w:val="both"/>
        <w:rPr>
          <w:rFonts w:ascii="David" w:hAnsi="David"/>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הרפורמה בדיני המתה (תיקון 137 לחוק) ביטלה את עבירת הרצח בכוונה תחילה, וכן בוטל סעיף 301 לחוק שהגדיר את רכיבי יסוד ה"כוונה תחילה". במילים אחרות, "עבירת האֵם" של עבירת הניסיון לרצח בוטלה, ונקבע מדרג חדש לעבירות הרצח. לעומת זאת, עבירת הניסיון לרצח נותרה ללא שינוי.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אשר על כן עולה השאלה, מה היסוד הנפשי להרשעה בעבירת הניסיון לרצח במקרים שאירעו </w:t>
      </w:r>
      <w:r>
        <w:rPr>
          <w:rFonts w:ascii="David" w:hAnsi="David" w:cs="David"/>
          <w:sz w:val="24"/>
          <w:szCs w:val="24"/>
          <w:u w:val="single"/>
          <w:rtl/>
        </w:rPr>
        <w:t xml:space="preserve">לאחר </w:t>
      </w:r>
      <w:r>
        <w:rPr>
          <w:rFonts w:ascii="David" w:hAnsi="David" w:cs="David"/>
          <w:sz w:val="24"/>
          <w:szCs w:val="24"/>
          <w:rtl/>
        </w:rPr>
        <w:t xml:space="preserve">כניסתה של הרפורמה בעבירות ההמתה לתוקף.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באי כוח הצדדים הרחיבו בהקשר זה והעלו טיעונים לכאן ולכאן, ועמדתי – כעמדת המאשימה -  </w:t>
      </w:r>
      <w:r>
        <w:rPr>
          <w:rFonts w:ascii="David" w:hAnsi="David" w:cs="David"/>
          <w:sz w:val="24"/>
          <w:szCs w:val="24"/>
          <w:u w:val="single"/>
          <w:rtl/>
        </w:rPr>
        <w:t>שכיום אין מקום לדרישת רכיבי ה"כוונה תחילה"</w:t>
      </w:r>
      <w:r>
        <w:rPr>
          <w:rFonts w:ascii="David" w:hAnsi="David" w:cs="David"/>
          <w:sz w:val="24"/>
          <w:szCs w:val="24"/>
          <w:rtl/>
        </w:rPr>
        <w:t xml:space="preserve">. פרשנות אחרת משמעה דרישה להוכיח יסודות של עבירה מושלמת שאינה קיימת עוד בספר החוקים. נזכיר, כי בבסיס הרפורמה עמדה, בין היתר, הביקורת שהושמעה כלפי יסודות ה"ההכנה" ו"היעדר הקינטור" (שכלל יסוד אובייקטיבי וסובייקטיבי); ואלה כאמור בוטלו במסגרת הרפורמה. משכך, הותרת יסודות אלה בהקשר לעבירת </w:t>
      </w:r>
      <w:r>
        <w:rPr>
          <w:rFonts w:ascii="David" w:hAnsi="David" w:cs="David"/>
          <w:sz w:val="24"/>
          <w:szCs w:val="24"/>
          <w:u w:val="single"/>
          <w:rtl/>
        </w:rPr>
        <w:t>ניסיון</w:t>
      </w:r>
      <w:r>
        <w:rPr>
          <w:rFonts w:ascii="David" w:hAnsi="David" w:cs="David"/>
          <w:sz w:val="24"/>
          <w:szCs w:val="24"/>
          <w:rtl/>
        </w:rPr>
        <w:t xml:space="preserve"> הרצח, כשאלה אינם קבועים באופן מפורש בחוק ואינם קיימים בעבירה המושלמת, אין לה על פני הדברים, עיגון. זאת ועוד, הותרת המצב על כנו תביא למצב ולפיו יוחמרו דרישות הוכחת היסוד הנפשי של ניסיון מאלה של "עבירת האם", היינו של עבירת הרצח "החדשה". </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אני ער לפסיקה מהעת האחרונה ושניתנה לאחר כניסת הרפורמה לתוקף (ע"פ 2377/19 </w:t>
      </w:r>
      <w:r>
        <w:rPr>
          <w:rFonts w:ascii="Miriam" w:hAnsi="Miriam" w:cs="Miriam"/>
          <w:sz w:val="24"/>
          <w:szCs w:val="24"/>
          <w:rtl/>
        </w:rPr>
        <w:t>אפגאני נ' מדינת ישראל</w:t>
      </w:r>
      <w:r>
        <w:rPr>
          <w:rFonts w:ascii="David" w:hAnsi="David" w:cs="David"/>
          <w:sz w:val="24"/>
          <w:szCs w:val="24"/>
          <w:rtl/>
        </w:rPr>
        <w:t xml:space="preserve"> (22.5.22); ע"פ 3879/21 </w:t>
      </w:r>
      <w:r>
        <w:rPr>
          <w:rFonts w:ascii="Miriam" w:hAnsi="Miriam" w:cs="Miriam"/>
          <w:sz w:val="24"/>
          <w:szCs w:val="24"/>
          <w:rtl/>
        </w:rPr>
        <w:t>טדסה סלומון נ' מדינת ישראל</w:t>
      </w:r>
      <w:r>
        <w:rPr>
          <w:rFonts w:ascii="David" w:hAnsi="David" w:cs="David"/>
          <w:sz w:val="24"/>
          <w:szCs w:val="24"/>
          <w:rtl/>
        </w:rPr>
        <w:t xml:space="preserve"> (10.8.22);</w:t>
      </w:r>
      <w:r>
        <w:rPr>
          <w:rFonts w:ascii="David" w:hAnsi="David" w:cs="David"/>
          <w:sz w:val="24"/>
          <w:szCs w:val="24"/>
        </w:rPr>
        <w:t xml:space="preserve"> </w:t>
      </w:r>
      <w:r>
        <w:rPr>
          <w:rFonts w:ascii="David" w:hAnsi="David" w:cs="David"/>
          <w:sz w:val="24"/>
          <w:szCs w:val="24"/>
          <w:rtl/>
        </w:rPr>
        <w:t xml:space="preserve">ע"פ 3312/19 </w:t>
      </w:r>
      <w:r>
        <w:rPr>
          <w:rFonts w:ascii="Miriam" w:hAnsi="Miriam" w:cs="Miriam"/>
          <w:sz w:val="24"/>
          <w:szCs w:val="24"/>
          <w:rtl/>
        </w:rPr>
        <w:t>מדינת ישאל נ' חאלד אבו גודה</w:t>
      </w:r>
      <w:r>
        <w:rPr>
          <w:rFonts w:ascii="David" w:hAnsi="David" w:cs="David"/>
          <w:sz w:val="24"/>
          <w:szCs w:val="24"/>
          <w:rtl/>
        </w:rPr>
        <w:t xml:space="preserve"> (22.1.23); ע"פ 1779/22 </w:t>
      </w:r>
      <w:r>
        <w:rPr>
          <w:rFonts w:ascii="Miriam" w:hAnsi="Miriam" w:cs="Miriam"/>
          <w:sz w:val="24"/>
          <w:szCs w:val="24"/>
          <w:rtl/>
        </w:rPr>
        <w:t>אביעד משה נ' מדינת ישראל</w:t>
      </w:r>
      <w:r>
        <w:rPr>
          <w:rFonts w:ascii="David" w:hAnsi="David" w:cs="David"/>
          <w:sz w:val="24"/>
          <w:szCs w:val="24"/>
          <w:rtl/>
        </w:rPr>
        <w:t xml:space="preserve"> (18.6.23)) ממנה עולה, </w:t>
      </w:r>
      <w:r>
        <w:rPr>
          <w:rFonts w:ascii="David" w:hAnsi="David" w:cs="David"/>
          <w:sz w:val="24"/>
          <w:szCs w:val="24"/>
          <w:u w:val="single"/>
          <w:rtl/>
        </w:rPr>
        <w:t>על פני הדברים</w:t>
      </w:r>
      <w:r>
        <w:rPr>
          <w:rFonts w:ascii="David" w:hAnsi="David" w:cs="David"/>
          <w:sz w:val="24"/>
          <w:szCs w:val="24"/>
          <w:rtl/>
        </w:rPr>
        <w:t xml:space="preserve">, כי לא חל שינוי בהגדרת עבירת ניסיון הרצח, במובן זה שעבירת ניסיון הרצח כוללת עדיין גם את ה"כוונה תחילה". עם זאת – וזה הדבר החשוב - תשומת הלב כי למעט פסק הדין בעניין אביעד משה, בו הדברים צוינו על פני הדברים באמרת אגב, </w:t>
      </w:r>
      <w:r>
        <w:rPr>
          <w:rFonts w:ascii="David" w:hAnsi="David" w:cs="David"/>
          <w:sz w:val="24"/>
          <w:szCs w:val="24"/>
          <w:u w:val="single"/>
          <w:rtl/>
        </w:rPr>
        <w:t>מדובר במעשים שבוצעו טרם לכניסת הרפורמה לתוקף</w:t>
      </w:r>
      <w:r>
        <w:rPr>
          <w:rFonts w:ascii="David" w:hAnsi="David" w:cs="David"/>
          <w:sz w:val="24"/>
          <w:szCs w:val="24"/>
          <w:rtl/>
        </w:rPr>
        <w:t xml:space="preserve"> (ביום 10.7.19). כך, בעניין אפגאני המעשה בוצע בחודש 12/2016; בעניין טדסה המעשה בוצע בחודש 01/2018; ובעניין אבו גודה  המעשים בוצעו בשנת 2017. בענייננו, מדובר באירוע מיום 21.5.21, לאחר שהרפורמה נכנסה לתוקף, ולאחר שהצדדים טענו לגופה של הסוגיה".</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אעיר, כי סוגיה זו התעוררה במספר מקרים בערכאה הדיונית. כך, בתפ"ח (מחוזי חיפה) 4283-02-18 </w:t>
      </w:r>
      <w:r>
        <w:rPr>
          <w:rFonts w:ascii="Miriam" w:hAnsi="Miriam" w:cs="Miriam"/>
          <w:sz w:val="24"/>
          <w:szCs w:val="24"/>
          <w:rtl/>
        </w:rPr>
        <w:t>מדינת ישראל נ' אמארה</w:t>
      </w:r>
      <w:r>
        <w:rPr>
          <w:rFonts w:ascii="David" w:hAnsi="David" w:cs="David"/>
          <w:sz w:val="24"/>
          <w:szCs w:val="24"/>
          <w:rtl/>
        </w:rPr>
        <w:t xml:space="preserve">, פסקה 44 לחוות דעתי מיום 7.1.21, התייחסתי לסוגיה זו אך ההכרעה שם לא נדרשה משום שהאירוע התרחש טרם הרפורמה; ובמספר הליכים מאוחרים יותר, בהם הדבר נדרש, נקבע כי עם כניסת הרפורמה לתוקף אין עוד מקום לדרישת ה"כוונה תחילה" של הכנה והיעדר קינטור. אפנה בנדון לתפ"ח (מחוזי ת"א) 22963-11-19 </w:t>
      </w:r>
      <w:r>
        <w:rPr>
          <w:rFonts w:ascii="Miriam" w:hAnsi="Miriam" w:cs="Miriam"/>
          <w:sz w:val="24"/>
          <w:szCs w:val="24"/>
          <w:rtl/>
        </w:rPr>
        <w:t>מדינת ישראל נ' פרידריך</w:t>
      </w:r>
      <w:r>
        <w:rPr>
          <w:rFonts w:ascii="David" w:hAnsi="David" w:cs="David"/>
          <w:sz w:val="24"/>
          <w:szCs w:val="24"/>
          <w:rtl/>
        </w:rPr>
        <w:t xml:space="preserve">, פסקה 24 (4.10.21); לתפ"ח (מחוזי ב"ש) 5589-10-20 </w:t>
      </w:r>
      <w:r>
        <w:rPr>
          <w:rFonts w:ascii="Miriam" w:hAnsi="Miriam" w:cs="Miriam"/>
          <w:sz w:val="24"/>
          <w:szCs w:val="24"/>
          <w:rtl/>
        </w:rPr>
        <w:t>מדינת ישראל נ' אביעד משה</w:t>
      </w:r>
      <w:r>
        <w:rPr>
          <w:rFonts w:ascii="David" w:hAnsi="David" w:cs="David"/>
          <w:sz w:val="24"/>
          <w:szCs w:val="24"/>
          <w:rtl/>
        </w:rPr>
        <w:t xml:space="preserve"> (25.8.21); ולתפ"ח (מחוזי ב"ש) 49445-11-20 </w:t>
      </w:r>
      <w:r>
        <w:rPr>
          <w:rFonts w:ascii="Miriam" w:hAnsi="Miriam" w:cs="Miriam"/>
          <w:sz w:val="24"/>
          <w:szCs w:val="24"/>
          <w:rtl/>
        </w:rPr>
        <w:t>מדינת ישראל נ' אבו מדיעם</w:t>
      </w:r>
      <w:r>
        <w:rPr>
          <w:rFonts w:ascii="David" w:hAnsi="David" w:cs="David"/>
          <w:sz w:val="24"/>
          <w:szCs w:val="24"/>
          <w:rtl/>
        </w:rPr>
        <w:t xml:space="preserve"> (27.1.22). בעמדה זו גם מחזיק פרופ' בועז סנג'רו בספרו </w:t>
      </w:r>
      <w:r>
        <w:rPr>
          <w:rFonts w:ascii="Miriam" w:hAnsi="Miriam" w:cs="Miriam"/>
          <w:sz w:val="24"/>
          <w:szCs w:val="24"/>
          <w:rtl/>
        </w:rPr>
        <w:t>ביקורת דיני העונשין הישראליים</w:t>
      </w:r>
      <w:r>
        <w:rPr>
          <w:rFonts w:ascii="David" w:hAnsi="David" w:cs="David"/>
          <w:sz w:val="24"/>
          <w:szCs w:val="24"/>
          <w:rtl/>
        </w:rPr>
        <w:t xml:space="preserve"> (2020) פרק יט' בעמ' 241. </w:t>
      </w:r>
    </w:p>
    <w:p w:rsidR="00097EAE" w:rsidRDefault="00097EAE" w:rsidP="00097EAE">
      <w:pPr>
        <w:pStyle w:val="aa"/>
        <w:spacing w:line="360" w:lineRule="auto"/>
        <w:ind w:left="0"/>
        <w:rPr>
          <w:rFonts w:ascii="David" w:hAnsi="David" w:cs="David"/>
          <w:sz w:val="24"/>
          <w:szCs w:val="24"/>
          <w:rtl/>
        </w:rPr>
      </w:pPr>
    </w:p>
    <w:p w:rsidR="00097EAE" w:rsidRDefault="00097EAE" w:rsidP="00097EAE">
      <w:pPr>
        <w:pStyle w:val="aa"/>
        <w:numPr>
          <w:ilvl w:val="0"/>
          <w:numId w:val="7"/>
        </w:numPr>
        <w:spacing w:after="0" w:line="360" w:lineRule="auto"/>
        <w:ind w:left="0"/>
        <w:jc w:val="both"/>
        <w:rPr>
          <w:rFonts w:ascii="David" w:hAnsi="David" w:cs="David"/>
          <w:sz w:val="24"/>
          <w:szCs w:val="24"/>
          <w:rtl/>
        </w:rPr>
      </w:pPr>
      <w:r>
        <w:rPr>
          <w:rFonts w:ascii="David" w:hAnsi="David" w:cs="David"/>
          <w:sz w:val="24"/>
          <w:szCs w:val="24"/>
          <w:rtl/>
        </w:rPr>
        <w:lastRenderedPageBreak/>
        <w:t xml:space="preserve">המחלוקת לעיל בין הצדדים בנוגע לשאלה באם כיום יש לבחון את התקיימות ה"כוונה תחילה" לא היתה לשם שמיים, שכן ההגנה טענה כי בענייננו הנאשם קונטר משום נסיעת המתלונן לכיוון המתפרעים ובמיוחד משום דריסת מוחמד. </w:t>
      </w:r>
      <w:r>
        <w:rPr>
          <w:rFonts w:ascii="David" w:hAnsi="David" w:cs="David"/>
          <w:sz w:val="24"/>
          <w:szCs w:val="24"/>
          <w:u w:val="single"/>
          <w:rtl/>
        </w:rPr>
        <w:t>בפסקאות לעיל הכרעתי בנדון וקבעתי שאין צורך בהוכחת רכיב היעדר הקנטור</w:t>
      </w:r>
      <w:r>
        <w:rPr>
          <w:rFonts w:ascii="David" w:hAnsi="David" w:cs="David"/>
          <w:sz w:val="24"/>
          <w:szCs w:val="24"/>
          <w:rtl/>
        </w:rPr>
        <w:t xml:space="preserve">. עם זאת בכך לא תם הדיון בנושא זה, שכן אחת מעבירות ההמתה הכלולות ברפורמה, כוללת רכיב "קרוב", אשר באם מתקיים ייתכן ויוביל למסקנה כי יש להרשיע את הנאשם בעבירה זו ולא בניסיון רצח. </w:t>
      </w:r>
      <w:r>
        <w:rPr>
          <w:rFonts w:ascii="David" w:hAnsi="David" w:cs="David"/>
          <w:sz w:val="24"/>
          <w:szCs w:val="24"/>
          <w:u w:val="single"/>
          <w:rtl/>
        </w:rPr>
        <w:t>הכוונה לעבירה המנויה בסעיף 301ב(ב) לחוק והיא המתה בנסיבות של אחריות מופחתת לאחר התגרות כלפי הנאשם</w:t>
      </w:r>
      <w:r>
        <w:rPr>
          <w:rFonts w:ascii="David" w:hAnsi="David" w:cs="David"/>
          <w:sz w:val="24"/>
          <w:szCs w:val="24"/>
          <w:rtl/>
        </w:rPr>
        <w:t xml:space="preserve"> (מה שמכונה הקנטור ה"חדש"). הגם שהעונש המרבי בגין עבירה אחרונה זו זהה לזה הקבוע לצד ניסיון הרצח ה"רגיל", מדובר בעבירה שבהגדרתה קובעת אחריות מופחתת, ולכן ייתכן והענישה בגינה תהיה מקלה יותר.</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Pr>
      </w:pPr>
      <w:r>
        <w:rPr>
          <w:rFonts w:ascii="David" w:hAnsi="David" w:cs="David"/>
          <w:sz w:val="24"/>
          <w:szCs w:val="24"/>
          <w:rtl/>
        </w:rPr>
        <w:t xml:space="preserve">בענייננו, טענה אפשרית של הנאשם היא כי הוא סבר שהמתלונן ביצע פיגוע דריסה, כך שהוא "קונטר", וקנטור זה עומד בהוראות ס' 301ב(ב) לעיל.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 xml:space="preserve">בחינת נסיבות המקרה אל מול הוראות הדין כפי שפורשו בפסיקה הוביל אותי למסקנה שיש לדחות טענה אפשרית זו. </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spacing w:after="0" w:line="360" w:lineRule="auto"/>
        <w:ind w:left="0"/>
        <w:jc w:val="both"/>
        <w:rPr>
          <w:rFonts w:ascii="David" w:hAnsi="David" w:cs="David"/>
          <w:sz w:val="24"/>
          <w:szCs w:val="24"/>
        </w:rPr>
      </w:pPr>
      <w:r>
        <w:rPr>
          <w:rFonts w:ascii="David" w:hAnsi="David" w:cs="David"/>
          <w:sz w:val="24"/>
          <w:szCs w:val="24"/>
          <w:rtl/>
        </w:rPr>
        <w:t>ראשית, אפנה לכך שבפסיקה נקבע כי הסדר הקנטור ה"חדש" שהתקבל במסגרת ס' 301ב(ב) לעיל "</w:t>
      </w:r>
      <w:r>
        <w:rPr>
          <w:rFonts w:ascii="David" w:hAnsi="David" w:cs="David"/>
          <w:b/>
          <w:bCs/>
          <w:sz w:val="24"/>
          <w:szCs w:val="24"/>
          <w:rtl/>
        </w:rPr>
        <w:t>משלב אלמנטים סובייקטיביים ("הנאשם התקשה במידה ניכרת לשלוט בעצמו") ותנאים נורמטיביים-אובייקטיביים ("בתכוף", "התגרות", "למתן את אשמתו") והכל "בשים לב למכלול נסיבות העניין"... ההסדר החדש זונח את מבחן "האדם הסביר" שזכה לביקורת, וקובע במקומו מבחן חלופי המשלב בין המבחן האובייקטיבי לסובייקטיבי, כאשר הביטוי "למתן את אשמתו של הנאשם" כמוהו כרקמה הפתוחה, והוא מאפשר לבית המשפט לשקול ולשקלל את כל הנסיבות הרלוונטיות בכל מקרה ומקרה</w:t>
      </w:r>
      <w:r>
        <w:rPr>
          <w:rFonts w:ascii="David" w:hAnsi="David" w:cs="David"/>
          <w:sz w:val="24"/>
          <w:szCs w:val="24"/>
          <w:rtl/>
        </w:rPr>
        <w:t xml:space="preserve">" (ע"פ 640/21 </w:t>
      </w:r>
      <w:r>
        <w:rPr>
          <w:rFonts w:ascii="Miriam" w:hAnsi="Miriam" w:cs="Miriam"/>
          <w:sz w:val="24"/>
          <w:szCs w:val="24"/>
          <w:rtl/>
        </w:rPr>
        <w:t>עאמר נ' מדינת ישראל</w:t>
      </w:r>
      <w:r>
        <w:rPr>
          <w:rFonts w:ascii="David" w:hAnsi="David" w:cs="David"/>
          <w:sz w:val="24"/>
          <w:szCs w:val="24"/>
          <w:rtl/>
        </w:rPr>
        <w:t>, פסקה 2 לחוות דעתו של כבוד השופט י' עמית (7.7.22)).</w:t>
      </w:r>
    </w:p>
    <w:p w:rsidR="00097EAE" w:rsidRDefault="00097EAE" w:rsidP="00097EAE">
      <w:pPr>
        <w:pStyle w:val="aa"/>
        <w:spacing w:line="360" w:lineRule="auto"/>
        <w:rPr>
          <w:rFonts w:ascii="David" w:hAnsi="David" w:cs="David"/>
          <w:sz w:val="24"/>
          <w:szCs w:val="24"/>
        </w:rPr>
      </w:pPr>
    </w:p>
    <w:p w:rsidR="00097EAE" w:rsidRDefault="00097EAE" w:rsidP="00097EAE">
      <w:pPr>
        <w:spacing w:line="360" w:lineRule="auto"/>
        <w:jc w:val="both"/>
        <w:rPr>
          <w:rFonts w:ascii="David" w:hAnsi="David"/>
          <w:rtl/>
        </w:rPr>
      </w:pPr>
      <w:r>
        <w:rPr>
          <w:rFonts w:ascii="David" w:hAnsi="David"/>
          <w:rtl/>
        </w:rPr>
        <w:t>עוד נקבע בהקשר זה כי :</w:t>
      </w:r>
      <w:r>
        <w:rPr>
          <w:rFonts w:ascii="David" w:hAnsi="David"/>
          <w:b/>
          <w:bCs/>
          <w:rtl/>
        </w:rPr>
        <w:t xml:space="preserve">"..המבחן בהתאם לדין החדש ממזג בין בחינה סובייקטיבית לבחינה נורמטיבית – האם הנאשם הספציפי קונטר באופן סובייקטיבי, </w:t>
      </w:r>
      <w:r>
        <w:rPr>
          <w:rFonts w:ascii="David" w:hAnsi="David"/>
          <w:b/>
          <w:bCs/>
          <w:u w:val="single"/>
          <w:rtl/>
        </w:rPr>
        <w:t>והאם מבחינה מוסרית וחברתית, יש בנסיבות המקרה כדי למתן את אשמתו</w:t>
      </w:r>
      <w:r>
        <w:rPr>
          <w:rFonts w:ascii="David" w:hAnsi="David"/>
          <w:b/>
          <w:bCs/>
          <w:rtl/>
        </w:rPr>
        <w:t>.."</w:t>
      </w:r>
      <w:r>
        <w:rPr>
          <w:rFonts w:ascii="David" w:hAnsi="David"/>
          <w:rtl/>
        </w:rPr>
        <w:t xml:space="preserve">. וכן: </w:t>
      </w:r>
      <w:r>
        <w:rPr>
          <w:rFonts w:ascii="David" w:hAnsi="David"/>
          <w:b/>
          <w:bCs/>
          <w:rtl/>
        </w:rPr>
        <w:t>".. הגנת הקנטור לפי הדין החדש דורשת שלושה תנאים מצטברים להתקיימותה: המעשה</w:t>
      </w:r>
      <w:r>
        <w:rPr>
          <w:rFonts w:ascii="David" w:hAnsi="David"/>
          <w:b/>
          <w:bCs/>
        </w:rPr>
        <w:t xml:space="preserve"> </w:t>
      </w:r>
      <w:r>
        <w:rPr>
          <w:rFonts w:ascii="David" w:hAnsi="David"/>
          <w:b/>
          <w:bCs/>
          <w:rtl/>
        </w:rPr>
        <w:t>בוצע</w:t>
      </w:r>
      <w:r>
        <w:rPr>
          <w:rFonts w:ascii="David" w:hAnsi="David"/>
          <w:b/>
          <w:bCs/>
        </w:rPr>
        <w:t xml:space="preserve"> </w:t>
      </w:r>
      <w:r>
        <w:rPr>
          <w:rFonts w:ascii="David" w:hAnsi="David"/>
          <w:b/>
          <w:bCs/>
          <w:rtl/>
        </w:rPr>
        <w:t>בתכוף</w:t>
      </w:r>
      <w:r>
        <w:rPr>
          <w:rFonts w:ascii="David" w:hAnsi="David"/>
          <w:b/>
          <w:bCs/>
        </w:rPr>
        <w:t xml:space="preserve"> </w:t>
      </w:r>
      <w:r>
        <w:rPr>
          <w:rFonts w:ascii="David" w:hAnsi="David"/>
          <w:b/>
          <w:bCs/>
          <w:rtl/>
        </w:rPr>
        <w:t>לאחר</w:t>
      </w:r>
      <w:r>
        <w:rPr>
          <w:rFonts w:ascii="David" w:hAnsi="David"/>
          <w:b/>
          <w:bCs/>
        </w:rPr>
        <w:t xml:space="preserve"> </w:t>
      </w:r>
      <w:r>
        <w:rPr>
          <w:rFonts w:ascii="David" w:hAnsi="David"/>
          <w:b/>
          <w:bCs/>
          <w:rtl/>
        </w:rPr>
        <w:t>התגרות</w:t>
      </w:r>
      <w:r>
        <w:rPr>
          <w:rFonts w:ascii="David" w:hAnsi="David"/>
          <w:b/>
          <w:bCs/>
        </w:rPr>
        <w:t xml:space="preserve"> </w:t>
      </w:r>
      <w:r>
        <w:rPr>
          <w:rFonts w:ascii="David" w:hAnsi="David"/>
          <w:b/>
          <w:bCs/>
          <w:rtl/>
        </w:rPr>
        <w:t>כלפי הנאשם</w:t>
      </w:r>
      <w:r>
        <w:rPr>
          <w:rFonts w:ascii="David" w:hAnsi="David"/>
          <w:b/>
          <w:bCs/>
        </w:rPr>
        <w:t xml:space="preserve"> </w:t>
      </w:r>
      <w:r>
        <w:rPr>
          <w:rFonts w:ascii="David" w:hAnsi="David"/>
          <w:b/>
          <w:bCs/>
          <w:rtl/>
        </w:rPr>
        <w:t>ובתגובה</w:t>
      </w:r>
      <w:r>
        <w:rPr>
          <w:rFonts w:ascii="David" w:hAnsi="David"/>
          <w:b/>
          <w:bCs/>
        </w:rPr>
        <w:t xml:space="preserve"> </w:t>
      </w:r>
      <w:r>
        <w:rPr>
          <w:rFonts w:ascii="David" w:hAnsi="David"/>
          <w:b/>
          <w:bCs/>
          <w:rtl/>
        </w:rPr>
        <w:t>לאותה</w:t>
      </w:r>
      <w:r>
        <w:rPr>
          <w:rFonts w:ascii="David" w:hAnsi="David"/>
          <w:b/>
          <w:bCs/>
        </w:rPr>
        <w:t xml:space="preserve"> </w:t>
      </w:r>
      <w:r>
        <w:rPr>
          <w:rFonts w:ascii="David" w:hAnsi="David"/>
          <w:b/>
          <w:bCs/>
          <w:rtl/>
        </w:rPr>
        <w:t xml:space="preserve"> התגרות; בעקבות</w:t>
      </w:r>
      <w:r>
        <w:rPr>
          <w:rFonts w:ascii="David" w:hAnsi="David"/>
          <w:b/>
          <w:bCs/>
        </w:rPr>
        <w:t xml:space="preserve"> </w:t>
      </w:r>
      <w:r>
        <w:rPr>
          <w:rFonts w:ascii="David" w:hAnsi="David"/>
          <w:b/>
          <w:bCs/>
          <w:rtl/>
        </w:rPr>
        <w:t>ההתגרות</w:t>
      </w:r>
      <w:r>
        <w:rPr>
          <w:rFonts w:ascii="David" w:hAnsi="David"/>
          <w:b/>
          <w:bCs/>
        </w:rPr>
        <w:t xml:space="preserve"> </w:t>
      </w:r>
      <w:r>
        <w:rPr>
          <w:rFonts w:ascii="David" w:hAnsi="David"/>
          <w:b/>
          <w:bCs/>
          <w:rtl/>
        </w:rPr>
        <w:t>הנאשם</w:t>
      </w:r>
      <w:r>
        <w:rPr>
          <w:rFonts w:ascii="David" w:hAnsi="David"/>
          <w:b/>
          <w:bCs/>
        </w:rPr>
        <w:t xml:space="preserve"> </w:t>
      </w:r>
      <w:r>
        <w:rPr>
          <w:rFonts w:ascii="David" w:hAnsi="David"/>
          <w:b/>
          <w:bCs/>
          <w:rtl/>
        </w:rPr>
        <w:t>התקשה</w:t>
      </w:r>
      <w:r>
        <w:rPr>
          <w:rFonts w:ascii="David" w:hAnsi="David"/>
          <w:b/>
          <w:bCs/>
        </w:rPr>
        <w:t xml:space="preserve"> </w:t>
      </w:r>
      <w:r>
        <w:rPr>
          <w:rFonts w:ascii="David" w:hAnsi="David"/>
          <w:b/>
          <w:bCs/>
          <w:rtl/>
        </w:rPr>
        <w:t>במידה ניכרת</w:t>
      </w:r>
      <w:r>
        <w:rPr>
          <w:rFonts w:ascii="David" w:hAnsi="David"/>
          <w:b/>
          <w:bCs/>
        </w:rPr>
        <w:t xml:space="preserve"> </w:t>
      </w:r>
      <w:r>
        <w:rPr>
          <w:rFonts w:ascii="David" w:hAnsi="David"/>
          <w:b/>
          <w:bCs/>
          <w:rtl/>
        </w:rPr>
        <w:t>לשלוט</w:t>
      </w:r>
      <w:r>
        <w:rPr>
          <w:rFonts w:ascii="David" w:hAnsi="David"/>
          <w:b/>
          <w:bCs/>
        </w:rPr>
        <w:t xml:space="preserve"> </w:t>
      </w:r>
      <w:r>
        <w:rPr>
          <w:rFonts w:ascii="David" w:hAnsi="David"/>
          <w:b/>
          <w:bCs/>
          <w:rtl/>
        </w:rPr>
        <w:t>בעצמו; יש בקושי בו היה נתון הנאשם כדי למתן</w:t>
      </w:r>
      <w:r>
        <w:rPr>
          <w:rFonts w:ascii="David" w:hAnsi="David"/>
          <w:b/>
          <w:bCs/>
        </w:rPr>
        <w:t xml:space="preserve"> </w:t>
      </w:r>
      <w:r>
        <w:rPr>
          <w:rFonts w:ascii="David" w:hAnsi="David"/>
          <w:b/>
          <w:bCs/>
          <w:rtl/>
        </w:rPr>
        <w:t>את</w:t>
      </w:r>
      <w:r>
        <w:rPr>
          <w:rFonts w:ascii="David" w:hAnsi="David"/>
          <w:b/>
          <w:bCs/>
        </w:rPr>
        <w:t xml:space="preserve"> </w:t>
      </w:r>
      <w:r>
        <w:rPr>
          <w:rFonts w:ascii="David" w:hAnsi="David"/>
          <w:b/>
          <w:bCs/>
          <w:rtl/>
        </w:rPr>
        <w:t xml:space="preserve">אשמתו, </w:t>
      </w:r>
      <w:r>
        <w:rPr>
          <w:rFonts w:ascii="David" w:hAnsi="David"/>
          <w:b/>
          <w:bCs/>
          <w:u w:val="single"/>
          <w:rtl/>
        </w:rPr>
        <w:t>בשים</w:t>
      </w:r>
      <w:r>
        <w:rPr>
          <w:rFonts w:ascii="David" w:hAnsi="David"/>
          <w:b/>
          <w:bCs/>
          <w:u w:val="single"/>
        </w:rPr>
        <w:t xml:space="preserve"> </w:t>
      </w:r>
      <w:r>
        <w:rPr>
          <w:rFonts w:ascii="David" w:hAnsi="David"/>
          <w:b/>
          <w:bCs/>
          <w:u w:val="single"/>
          <w:rtl/>
        </w:rPr>
        <w:t>לב</w:t>
      </w:r>
      <w:r>
        <w:rPr>
          <w:rFonts w:ascii="David" w:hAnsi="David"/>
          <w:b/>
          <w:bCs/>
          <w:u w:val="single"/>
        </w:rPr>
        <w:t xml:space="preserve"> </w:t>
      </w:r>
      <w:r>
        <w:rPr>
          <w:rFonts w:ascii="David" w:hAnsi="David"/>
          <w:b/>
          <w:bCs/>
          <w:u w:val="single"/>
          <w:rtl/>
        </w:rPr>
        <w:t>למכלול נסיבות</w:t>
      </w:r>
      <w:r>
        <w:rPr>
          <w:rFonts w:ascii="David" w:hAnsi="David"/>
          <w:b/>
          <w:bCs/>
          <w:u w:val="single"/>
        </w:rPr>
        <w:t xml:space="preserve"> </w:t>
      </w:r>
      <w:r>
        <w:rPr>
          <w:rFonts w:ascii="David" w:hAnsi="David"/>
          <w:b/>
          <w:bCs/>
          <w:u w:val="single"/>
          <w:rtl/>
        </w:rPr>
        <w:t>העניין</w:t>
      </w:r>
      <w:r>
        <w:rPr>
          <w:rFonts w:ascii="David" w:hAnsi="David"/>
          <w:rtl/>
        </w:rPr>
        <w:t xml:space="preserve">" (ע"פ 8956/20 </w:t>
      </w:r>
      <w:r>
        <w:rPr>
          <w:rFonts w:ascii="Miriam" w:hAnsi="Miriam" w:cs="Miriam"/>
          <w:rtl/>
        </w:rPr>
        <w:t>מרטינס חורחה מריו נ' מדינת ישראל</w:t>
      </w:r>
      <w:r>
        <w:rPr>
          <w:rFonts w:ascii="David" w:hAnsi="David"/>
          <w:rtl/>
        </w:rPr>
        <w:t xml:space="preserve">, פסקה 32 לחוות דעתו של כבוד השופט י' אלרון (28.6.22)). להלן: </w:t>
      </w:r>
      <w:r>
        <w:rPr>
          <w:rFonts w:ascii="David" w:hAnsi="David"/>
          <w:b/>
          <w:bCs/>
          <w:rtl/>
        </w:rPr>
        <w:t>עניין חורחה</w:t>
      </w:r>
      <w:r>
        <w:rPr>
          <w:rFonts w:ascii="David" w:hAnsi="David"/>
          <w:rtl/>
        </w:rPr>
        <w:t>. (ההדגשות, כאמור, אינן במקור – י.ל.)</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u w:val="single"/>
          <w:rtl/>
        </w:rPr>
        <w:t>לגבי המבחן הסובייקטיבי</w:t>
      </w:r>
      <w:r>
        <w:rPr>
          <w:rFonts w:ascii="David" w:hAnsi="David"/>
          <w:rtl/>
        </w:rPr>
        <w:t xml:space="preserve"> – בניגוד לדין הישן, לא נדרש כי ההתגרות תביא את הנאשם לאיבוד שליטתו העצמית באופן מוחלט ודי בכך שבעקבות ההתגרות נפגעה יכולת השליטה העצמית של הנאשם באופן שגרם לו להתקשות במידה ניכרת לשלוט בעצמו; </w:t>
      </w:r>
      <w:r>
        <w:rPr>
          <w:rFonts w:ascii="David" w:hAnsi="David"/>
          <w:u w:val="single"/>
          <w:rtl/>
        </w:rPr>
        <w:t>ולגבי המבחן הנורמטיבי</w:t>
      </w:r>
      <w:r>
        <w:rPr>
          <w:rFonts w:ascii="David" w:hAnsi="David"/>
          <w:rtl/>
        </w:rPr>
        <w:t xml:space="preserve">, אין מדובר, כבעבר, במבחן האדם הסביר אלא יש לבחון האם העובדה כי נפגעה יכולת השליטה העצמית של הנאשם ממתנת את מידת אשמתו מבחינה חברתית. </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rtl/>
        </w:rPr>
        <w:t>עם זאת, בית המשפט בעניין חורחה הוסיף כי:</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rtl/>
        </w:rPr>
        <w:t>"</w:t>
      </w:r>
      <w:r>
        <w:rPr>
          <w:rFonts w:ascii="David" w:hAnsi="David"/>
          <w:b/>
          <w:bCs/>
          <w:rtl/>
        </w:rPr>
        <w:t xml:space="preserve">החוק החדש לא בא לשנות מן הדין הישן ביחס לפרשנות המונח 'התגרות'. ... לא כל מעשה שהנאשם ראה בו כ'התגרות' כלפיו, אכן יחשב להתגרות. </w:t>
      </w:r>
      <w:r>
        <w:rPr>
          <w:rFonts w:ascii="David" w:hAnsi="David"/>
          <w:b/>
          <w:bCs/>
          <w:u w:val="single"/>
          <w:rtl/>
        </w:rPr>
        <w:t xml:space="preserve">כדי שאשמת העושה תהייה פחותה באופן משמעותי, צריך להתקיים יחס הולם בין טיב ההתגרות ומידתה לבין הפגיעה שנגרמה בשליטה העצמית </w:t>
      </w:r>
      <w:r>
        <w:rPr>
          <w:rFonts w:ascii="David" w:hAnsi="David"/>
          <w:b/>
          <w:bCs/>
          <w:rtl/>
        </w:rPr>
        <w:t>.."</w:t>
      </w:r>
      <w:r>
        <w:rPr>
          <w:rFonts w:ascii="David" w:hAnsi="David"/>
          <w:rtl/>
        </w:rPr>
        <w:t>. (שם, פסקה 34).</w:t>
      </w:r>
    </w:p>
    <w:p w:rsidR="00097EAE" w:rsidRDefault="00097EAE" w:rsidP="00097EAE">
      <w:pPr>
        <w:pStyle w:val="aa"/>
        <w:spacing w:after="0" w:line="360" w:lineRule="auto"/>
        <w:ind w:left="0"/>
        <w:rPr>
          <w:rFonts w:ascii="David" w:hAnsi="David" w:cs="David"/>
          <w:sz w:val="24"/>
          <w:szCs w:val="24"/>
        </w:rPr>
      </w:pPr>
    </w:p>
    <w:p w:rsidR="00097EAE" w:rsidRDefault="00097EAE" w:rsidP="00097EAE">
      <w:pPr>
        <w:pStyle w:val="aa"/>
        <w:spacing w:after="0" w:line="360" w:lineRule="auto"/>
        <w:ind w:left="0"/>
        <w:rPr>
          <w:rFonts w:ascii="David" w:eastAsia="Times New Roman" w:hAnsi="David" w:cs="David"/>
          <w:sz w:val="24"/>
          <w:szCs w:val="24"/>
          <w:rtl/>
        </w:rPr>
      </w:pPr>
      <w:r>
        <w:rPr>
          <w:rFonts w:ascii="David" w:hAnsi="David" w:cs="David"/>
          <w:sz w:val="24"/>
          <w:szCs w:val="24"/>
          <w:rtl/>
        </w:rPr>
        <w:t xml:space="preserve">ובע"פ 3546/19 </w:t>
      </w:r>
      <w:r>
        <w:rPr>
          <w:rFonts w:ascii="Miriam" w:hAnsi="Miriam" w:cs="Miriam"/>
          <w:sz w:val="24"/>
          <w:szCs w:val="24"/>
          <w:rtl/>
        </w:rPr>
        <w:t>עודה נ' מדינת ישראל</w:t>
      </w:r>
      <w:r>
        <w:rPr>
          <w:rFonts w:ascii="David" w:hAnsi="David" w:cs="David"/>
          <w:sz w:val="24"/>
          <w:szCs w:val="24"/>
          <w:rtl/>
        </w:rPr>
        <w:t xml:space="preserve"> (15.1.23) </w:t>
      </w:r>
      <w:r>
        <w:rPr>
          <w:rFonts w:ascii="David" w:eastAsia="Times New Roman" w:hAnsi="David" w:cs="David"/>
          <w:sz w:val="24"/>
          <w:szCs w:val="24"/>
          <w:rtl/>
        </w:rPr>
        <w:t>ציין כבוד השופט י' אלרון:</w:t>
      </w:r>
    </w:p>
    <w:p w:rsidR="00097EAE" w:rsidRDefault="00097EAE" w:rsidP="00097EAE">
      <w:pPr>
        <w:pStyle w:val="aa"/>
        <w:spacing w:after="0" w:line="360" w:lineRule="auto"/>
        <w:ind w:left="0"/>
        <w:rPr>
          <w:rFonts w:ascii="David" w:eastAsia="Times New Roman" w:hAnsi="David" w:cs="David"/>
          <w:sz w:val="24"/>
          <w:szCs w:val="24"/>
          <w:rtl/>
        </w:rPr>
      </w:pPr>
    </w:p>
    <w:p w:rsidR="00097EAE" w:rsidRDefault="00097EAE" w:rsidP="00097EAE">
      <w:pPr>
        <w:pStyle w:val="aa"/>
        <w:spacing w:after="0" w:line="360" w:lineRule="auto"/>
        <w:ind w:left="0"/>
        <w:rPr>
          <w:rFonts w:ascii="David" w:eastAsia="Times New Roman" w:hAnsi="David" w:cs="David"/>
          <w:sz w:val="24"/>
          <w:szCs w:val="24"/>
          <w:rtl/>
        </w:rPr>
      </w:pPr>
      <w:r>
        <w:rPr>
          <w:rFonts w:ascii="David" w:eastAsia="Times New Roman" w:hAnsi="David" w:cs="David"/>
          <w:sz w:val="24"/>
          <w:szCs w:val="24"/>
          <w:rtl/>
        </w:rPr>
        <w:t>"</w:t>
      </w:r>
      <w:r>
        <w:rPr>
          <w:rFonts w:ascii="David" w:eastAsia="Times New Roman" w:hAnsi="David" w:cs="David"/>
          <w:b/>
          <w:bCs/>
          <w:sz w:val="24"/>
          <w:szCs w:val="24"/>
          <w:rtl/>
        </w:rPr>
        <w:t xml:space="preserve">גם אילו התעורר רגש עז בקרבו של המערער אשר הניעו להמית את המנוח, אין בכך כדי למתן את אשמתו, בין היתר, מאחר שלא מתקיים </w:t>
      </w:r>
      <w:r>
        <w:rPr>
          <w:rFonts w:ascii="David" w:eastAsia="Times New Roman" w:hAnsi="David" w:cs="David"/>
          <w:b/>
          <w:bCs/>
          <w:sz w:val="24"/>
          <w:szCs w:val="24"/>
          <w:u w:val="single"/>
          <w:rtl/>
        </w:rPr>
        <w:t>יחס הולם</w:t>
      </w:r>
      <w:r>
        <w:rPr>
          <w:rFonts w:ascii="David" w:eastAsia="Times New Roman" w:hAnsi="David" w:cs="David"/>
          <w:b/>
          <w:bCs/>
          <w:sz w:val="24"/>
          <w:szCs w:val="24"/>
          <w:rtl/>
        </w:rPr>
        <w:t xml:space="preserve"> בין ההתגרות הנטענת לבין תגובתו של המערער ברצח המנוח (דברי ההסבר לחוק, בעמ' 175)..."</w:t>
      </w:r>
      <w:r>
        <w:rPr>
          <w:rFonts w:ascii="David" w:eastAsia="Times New Roman" w:hAnsi="David" w:cs="David"/>
          <w:sz w:val="24"/>
          <w:szCs w:val="24"/>
          <w:rtl/>
        </w:rPr>
        <w:t>. (ההדגשה במקור – י.ל.)</w:t>
      </w:r>
    </w:p>
    <w:p w:rsidR="00097EAE" w:rsidRDefault="00097EAE" w:rsidP="00097EAE">
      <w:pPr>
        <w:pStyle w:val="aa"/>
        <w:spacing w:after="0" w:line="360" w:lineRule="auto"/>
        <w:ind w:left="0"/>
        <w:rPr>
          <w:rFonts w:ascii="David" w:hAnsi="David" w:cs="David"/>
          <w:sz w:val="24"/>
          <w:szCs w:val="24"/>
          <w:rtl/>
        </w:rPr>
      </w:pPr>
    </w:p>
    <w:p w:rsidR="00097EAE" w:rsidRDefault="00097EAE" w:rsidP="00097EAE">
      <w:pPr>
        <w:pStyle w:val="aa"/>
        <w:numPr>
          <w:ilvl w:val="0"/>
          <w:numId w:val="7"/>
        </w:numPr>
        <w:spacing w:after="0" w:line="360" w:lineRule="auto"/>
        <w:ind w:left="0"/>
        <w:jc w:val="both"/>
        <w:rPr>
          <w:rFonts w:ascii="David" w:hAnsi="David" w:cs="David"/>
          <w:sz w:val="24"/>
          <w:szCs w:val="24"/>
          <w:rtl/>
        </w:rPr>
      </w:pPr>
      <w:r>
        <w:rPr>
          <w:rFonts w:ascii="David" w:hAnsi="David" w:cs="David"/>
          <w:sz w:val="24"/>
          <w:szCs w:val="24"/>
          <w:rtl/>
        </w:rPr>
        <w:t>בהקשר לסוגיית הקנטור (הגם שההגנה טענה שיש לבחון אותה במסגרת הדין הישן), הופנינו לכלל הנתונים שכבר נדונו באריכות יחסית לעיל – לידיעות (</w:t>
      </w:r>
      <w:r>
        <w:rPr>
          <w:rFonts w:ascii="David" w:hAnsi="David" w:cs="David"/>
          <w:sz w:val="24"/>
          <w:szCs w:val="24"/>
          <w:u w:val="single"/>
          <w:rtl/>
        </w:rPr>
        <w:t>הכוזבות</w:t>
      </w:r>
      <w:r>
        <w:rPr>
          <w:rFonts w:ascii="David" w:hAnsi="David" w:cs="David"/>
          <w:sz w:val="24"/>
          <w:szCs w:val="24"/>
          <w:rtl/>
        </w:rPr>
        <w:t xml:space="preserve">) שנפוצו בעכו ביום האירוע בנוגע לרצח צעיר ערבי על ידי יהודים ועל שריפת מסגד אלג'זאר; נתונים שבאופן סובייקטיבי היו ברקע מעשיו של הנאשם עת השליך אבנים לעבר רכבו של המתלונן עת נסע במהירות ופגע במוחמד – נתונים שהיוו מבחינת הנאשם התגרות ולאורם הוא התקשה במידה ניכרת לשלוט בכעסו וממתנים את אשמתו. מנגד, המאשימה טענה כי הנאשם כעס וזעם על מעשי "היהודים" עוד לפני הגעת המתלונן למקום; וממילא אין כל מידתיות בין מעשיו האלימים של הנאשם ויתר המתפרעים כלפי המתלונן ששכב חסר אונים, לבין ה"התגרות" הנטענת. </w:t>
      </w:r>
    </w:p>
    <w:p w:rsidR="00097EAE" w:rsidRDefault="00097EAE" w:rsidP="00097EAE">
      <w:pPr>
        <w:pStyle w:val="aa"/>
        <w:spacing w:after="0" w:line="360" w:lineRule="auto"/>
        <w:ind w:left="0"/>
        <w:jc w:val="both"/>
        <w:rPr>
          <w:rFonts w:ascii="David" w:hAnsi="David" w:cs="David"/>
          <w:sz w:val="24"/>
          <w:szCs w:val="24"/>
          <w:rtl/>
        </w:rPr>
      </w:pPr>
    </w:p>
    <w:p w:rsidR="00097EAE" w:rsidRDefault="00097EAE" w:rsidP="00097EAE">
      <w:pPr>
        <w:pStyle w:val="aa"/>
        <w:spacing w:after="0" w:line="360" w:lineRule="auto"/>
        <w:ind w:left="0"/>
        <w:jc w:val="both"/>
        <w:rPr>
          <w:rFonts w:ascii="David" w:hAnsi="David" w:cs="David"/>
          <w:sz w:val="24"/>
          <w:szCs w:val="24"/>
          <w:rtl/>
        </w:rPr>
      </w:pPr>
      <w:r>
        <w:rPr>
          <w:rFonts w:ascii="David" w:hAnsi="David" w:cs="David"/>
          <w:sz w:val="24"/>
          <w:szCs w:val="24"/>
          <w:rtl/>
        </w:rPr>
        <w:t>אף אני סבור, כעמדת המאשימה, כי הנתונים והראיות בענייננו מוליכים למסקנה כי לא התקיים בענייננו "קנטור" כהגדרת מונח זה בחוק כיום. כאמור לעיל, אף אם בשעת האירוע ובשים לב לעימותים והמהומות בארץ בכלל ובעכו בפרט, אדם בנעלי הנאשם היה סבור שמדובר בפיגוע, לא ניתן לומר ש"</w:t>
      </w:r>
      <w:r>
        <w:rPr>
          <w:rFonts w:ascii="David" w:hAnsi="David" w:cs="David"/>
          <w:b/>
          <w:bCs/>
          <w:sz w:val="24"/>
          <w:szCs w:val="24"/>
          <w:rtl/>
        </w:rPr>
        <w:t>מבחינה מוסרית וחברתית יש בנסיבות המקרה כדי למתן את אשמו</w:t>
      </w:r>
      <w:r>
        <w:rPr>
          <w:rFonts w:ascii="David" w:hAnsi="David" w:cs="David"/>
          <w:sz w:val="24"/>
          <w:szCs w:val="24"/>
          <w:rtl/>
        </w:rPr>
        <w:t xml:space="preserve">". הנאשם כאמור יצא </w:t>
      </w:r>
      <w:r>
        <w:rPr>
          <w:rFonts w:ascii="David" w:hAnsi="David" w:cs="David"/>
          <w:sz w:val="24"/>
          <w:szCs w:val="24"/>
          <w:rtl/>
        </w:rPr>
        <w:lastRenderedPageBreak/>
        <w:t xml:space="preserve">את ביתו כדי "לחפש צרות", ובחר מיוזמתו להצטרף להתפרעות ההמונית. הנאשם אף הודה שעוד לפני פגיעת המתלונן במוחמד הוא השליך לעבר רכבו אבנים, וציינו כי הנאשם עצמו תרם באופן מסוים לפגיעה זו שכן בשל מעשיו ומעשי יתר המתפרעים איבד המתלונן שליטה על רכבו.  מדובר אם כן במי שתרם לפגיעה במוחמד וכעת מנסה להיבנות ממנה. עם זאת, השיקול המכריע הוא שמעת שהמתלונן יצא את רכבו, הוא לא היווה כל איום או סכנה ולו בראייתו הסובייקטיבית של הנאשם (גם אם אניח שכך חש או הבין את הסיטואציה). הדברים נכונים שבעתיים בשלב כאשר המתלונן שכב על הארץ ללא תנועה והתבוסס בדמו. הכאת המתלונן במצב שכזה, אין בה כדי למתן את אשמתו אלא בדיוק ההיפך, ומאליו יוצא שגם אינה מקיימת את התנאי של יחס הולם בין טיב ההתגרות לבין הפגיעה שנגרמה בשליטה העצמית. אין לקבל "מבחינה מוסרית וחברתית" עשיית דין עצמית. </w:t>
      </w:r>
    </w:p>
    <w:p w:rsidR="00097EAE" w:rsidRDefault="00097EAE" w:rsidP="00097EAE">
      <w:pPr>
        <w:pStyle w:val="aa"/>
        <w:spacing w:after="0" w:line="360" w:lineRule="auto"/>
        <w:ind w:left="0"/>
        <w:jc w:val="both"/>
        <w:rPr>
          <w:rFonts w:ascii="David" w:hAnsi="David" w:cs="David"/>
          <w:sz w:val="24"/>
          <w:szCs w:val="24"/>
        </w:rPr>
      </w:pPr>
    </w:p>
    <w:p w:rsidR="00097EAE" w:rsidRDefault="00097EAE" w:rsidP="00097EAE">
      <w:pPr>
        <w:pStyle w:val="aa"/>
        <w:numPr>
          <w:ilvl w:val="0"/>
          <w:numId w:val="7"/>
        </w:numPr>
        <w:spacing w:after="0" w:line="360" w:lineRule="auto"/>
        <w:ind w:left="0"/>
        <w:jc w:val="both"/>
        <w:rPr>
          <w:rFonts w:ascii="David" w:hAnsi="David" w:cs="David"/>
          <w:sz w:val="24"/>
          <w:szCs w:val="24"/>
          <w:rtl/>
        </w:rPr>
      </w:pPr>
      <w:r>
        <w:rPr>
          <w:rFonts w:ascii="David" w:hAnsi="David" w:cs="David"/>
          <w:sz w:val="24"/>
          <w:szCs w:val="24"/>
          <w:rtl/>
        </w:rPr>
        <w:t xml:space="preserve">לגבי יתר העבירות, התייחסתי לכך באופן עקיף לעיל, אך למען הסר ספק אבהיר, כי </w:t>
      </w:r>
      <w:r>
        <w:rPr>
          <w:rFonts w:ascii="David" w:hAnsi="David" w:cs="David"/>
          <w:b/>
          <w:bCs/>
          <w:sz w:val="24"/>
          <w:szCs w:val="24"/>
          <w:rtl/>
        </w:rPr>
        <w:t xml:space="preserve">מעשה טרור של יידוי אבן לעבר כלי תחבורה </w:t>
      </w:r>
      <w:r>
        <w:rPr>
          <w:rFonts w:ascii="David" w:hAnsi="David" w:cs="David"/>
          <w:sz w:val="24"/>
          <w:szCs w:val="24"/>
          <w:rtl/>
        </w:rPr>
        <w:t xml:space="preserve">הוכח בענייננו – הנאשם הודה כי יידה לעבר רכב המתלונן אבנים עוד לפני ההתנגשות בחומה. הוכח, כאמור, כי ההמון והנאשם זיהו את רכבו של מור כרכב של יהודי משום דגלי ישראל שהיו תלויים ברכבו, וברור כי היה בהשלכת האבנים כדי ליצור סיכון בפועל לביטחונו ושלומו של המתלונן; לגבי העבירה של </w:t>
      </w:r>
      <w:r>
        <w:rPr>
          <w:rFonts w:ascii="David" w:hAnsi="David" w:cs="David"/>
          <w:b/>
          <w:bCs/>
          <w:sz w:val="24"/>
          <w:szCs w:val="24"/>
          <w:rtl/>
        </w:rPr>
        <w:t xml:space="preserve">חבלה במזיד ברכב ממניע גזעני, </w:t>
      </w:r>
      <w:r>
        <w:rPr>
          <w:rFonts w:ascii="David" w:hAnsi="David" w:cs="David"/>
          <w:sz w:val="24"/>
          <w:szCs w:val="24"/>
          <w:rtl/>
        </w:rPr>
        <w:t>הנאשם הודה כי  חבט יחד עם אחרים באמצעות המקל ברכבו של המתלונן, והוכח כי עשה זאת ממניע גזעני ומשום שהוא זוהה כיהודי; ולגבי עבירת ה</w:t>
      </w:r>
      <w:r>
        <w:rPr>
          <w:rFonts w:ascii="David" w:hAnsi="David" w:cs="David"/>
          <w:b/>
          <w:bCs/>
          <w:sz w:val="24"/>
          <w:szCs w:val="24"/>
          <w:rtl/>
        </w:rPr>
        <w:t>התפרעות</w:t>
      </w:r>
      <w:r>
        <w:rPr>
          <w:rFonts w:ascii="David" w:hAnsi="David" w:cs="David"/>
          <w:sz w:val="24"/>
          <w:szCs w:val="24"/>
          <w:rtl/>
        </w:rPr>
        <w:t xml:space="preserve">, גם זו הוכחה, ומעבר לנדרש ההגנה אף אישרה זאת בסיכומיה (פסקה 110). </w:t>
      </w:r>
    </w:p>
    <w:p w:rsidR="00097EAE" w:rsidRDefault="00097EAE" w:rsidP="00097EAE">
      <w:pPr>
        <w:spacing w:line="360" w:lineRule="auto"/>
        <w:jc w:val="both"/>
        <w:rPr>
          <w:rFonts w:ascii="David" w:hAnsi="David"/>
          <w:rtl/>
        </w:rPr>
      </w:pPr>
    </w:p>
    <w:p w:rsidR="00097EAE" w:rsidRDefault="00097EAE" w:rsidP="00097EAE">
      <w:pPr>
        <w:pStyle w:val="aa"/>
        <w:numPr>
          <w:ilvl w:val="0"/>
          <w:numId w:val="7"/>
        </w:numPr>
        <w:spacing w:after="0" w:line="360" w:lineRule="auto"/>
        <w:ind w:left="0"/>
        <w:jc w:val="both"/>
        <w:rPr>
          <w:rFonts w:ascii="David" w:hAnsi="David" w:cs="David"/>
          <w:sz w:val="24"/>
          <w:szCs w:val="24"/>
          <w:rtl/>
        </w:rPr>
      </w:pPr>
      <w:r>
        <w:rPr>
          <w:rFonts w:ascii="David" w:hAnsi="David" w:cs="David"/>
          <w:b/>
          <w:bCs/>
          <w:sz w:val="24"/>
          <w:szCs w:val="24"/>
          <w:rtl/>
        </w:rPr>
        <w:t>סוף דבר,</w:t>
      </w:r>
      <w:r>
        <w:rPr>
          <w:rFonts w:ascii="David" w:hAnsi="David" w:cs="David"/>
          <w:sz w:val="24"/>
          <w:szCs w:val="24"/>
          <w:rtl/>
        </w:rPr>
        <w:t xml:space="preserve"> מהטעמים שפורטו לעיל אני סבור שהוכח מעבר לכל ספק סביר שהנאשם ביצע את העבירות המיוחסות לו. על כן אציע לחבריי להרשיע אותו בעבירות כדלקמן:</w:t>
      </w:r>
    </w:p>
    <w:p w:rsidR="00097EAE" w:rsidRDefault="00097EAE" w:rsidP="00097EAE">
      <w:pPr>
        <w:spacing w:line="360" w:lineRule="auto"/>
        <w:jc w:val="both"/>
        <w:rPr>
          <w:rFonts w:ascii="David" w:hAnsi="David"/>
          <w:rtl/>
        </w:rPr>
      </w:pPr>
    </w:p>
    <w:p w:rsidR="00097EAE" w:rsidRDefault="00097EAE" w:rsidP="00097EAE">
      <w:pPr>
        <w:pStyle w:val="aa"/>
        <w:spacing w:after="0" w:line="360" w:lineRule="auto"/>
        <w:ind w:hanging="720"/>
        <w:jc w:val="both"/>
        <w:rPr>
          <w:rFonts w:ascii="David" w:hAnsi="David" w:cs="David"/>
          <w:sz w:val="24"/>
          <w:szCs w:val="24"/>
          <w:rtl/>
        </w:rPr>
      </w:pPr>
      <w:r>
        <w:rPr>
          <w:rFonts w:ascii="David" w:hAnsi="David" w:cs="David"/>
          <w:b/>
          <w:bCs/>
          <w:sz w:val="24"/>
          <w:szCs w:val="24"/>
          <w:rtl/>
        </w:rPr>
        <w:t>(-)</w:t>
      </w:r>
      <w:r>
        <w:rPr>
          <w:rFonts w:ascii="David" w:hAnsi="David" w:cs="David"/>
          <w:b/>
          <w:bCs/>
          <w:sz w:val="24"/>
          <w:szCs w:val="24"/>
          <w:rtl/>
        </w:rPr>
        <w:tab/>
        <w:t>מעשה טרור של ניסיון רצח</w:t>
      </w:r>
      <w:r>
        <w:rPr>
          <w:rFonts w:ascii="David" w:hAnsi="David" w:cs="David"/>
          <w:sz w:val="24"/>
          <w:szCs w:val="24"/>
          <w:rtl/>
        </w:rPr>
        <w:t xml:space="preserve">, לפי סעיף 305(1) ו (2) לחוק העונשין, התשל"ז – 1977 (להלן: </w:t>
      </w:r>
      <w:r>
        <w:rPr>
          <w:rFonts w:ascii="David" w:hAnsi="David" w:cs="David"/>
          <w:b/>
          <w:bCs/>
          <w:sz w:val="24"/>
          <w:szCs w:val="24"/>
          <w:rtl/>
        </w:rPr>
        <w:t>החוק</w:t>
      </w:r>
      <w:r>
        <w:rPr>
          <w:rFonts w:ascii="David" w:hAnsi="David" w:cs="David"/>
          <w:sz w:val="24"/>
          <w:szCs w:val="24"/>
          <w:rtl/>
        </w:rPr>
        <w:t xml:space="preserve">) + סעיף 29 לחוק + סעיף 37 לחוק המאבק בטרור, התשע"ו – 2016 (להלן: </w:t>
      </w:r>
      <w:r>
        <w:rPr>
          <w:rFonts w:ascii="David" w:hAnsi="David" w:cs="David"/>
          <w:b/>
          <w:bCs/>
          <w:sz w:val="24"/>
          <w:szCs w:val="24"/>
          <w:rtl/>
        </w:rPr>
        <w:t>חוק המאבק בטרור</w:t>
      </w:r>
      <w:r>
        <w:rPr>
          <w:rFonts w:ascii="David" w:hAnsi="David" w:cs="David"/>
          <w:sz w:val="24"/>
          <w:szCs w:val="24"/>
          <w:rtl/>
        </w:rPr>
        <w:t xml:space="preserve">).  </w:t>
      </w:r>
    </w:p>
    <w:p w:rsidR="00097EAE" w:rsidRDefault="00097EAE" w:rsidP="00097EAE">
      <w:pPr>
        <w:pStyle w:val="aa"/>
        <w:spacing w:after="0" w:line="360" w:lineRule="auto"/>
        <w:ind w:hanging="720"/>
        <w:jc w:val="both"/>
        <w:rPr>
          <w:rFonts w:ascii="David" w:hAnsi="David" w:cs="David"/>
          <w:sz w:val="24"/>
          <w:szCs w:val="24"/>
          <w:rtl/>
        </w:rPr>
      </w:pPr>
      <w:r>
        <w:rPr>
          <w:rFonts w:ascii="David" w:hAnsi="David" w:cs="David"/>
          <w:b/>
          <w:bCs/>
          <w:sz w:val="24"/>
          <w:szCs w:val="24"/>
          <w:rtl/>
        </w:rPr>
        <w:t>(-)</w:t>
      </w:r>
      <w:r>
        <w:rPr>
          <w:rFonts w:ascii="David" w:hAnsi="David" w:cs="David"/>
          <w:b/>
          <w:bCs/>
          <w:sz w:val="24"/>
          <w:szCs w:val="24"/>
          <w:rtl/>
        </w:rPr>
        <w:tab/>
        <w:t>מעשה טרור של יידוי אבן לעבר כלי תחבורה</w:t>
      </w:r>
      <w:r>
        <w:rPr>
          <w:rFonts w:ascii="David" w:hAnsi="David" w:cs="David"/>
          <w:sz w:val="24"/>
          <w:szCs w:val="24"/>
          <w:rtl/>
        </w:rPr>
        <w:t>, לפי סעיף 332א(ב) לחוק + סעיף 29 לחוק + סעיף 37 לחוק המאבק בטרור.</w:t>
      </w:r>
    </w:p>
    <w:p w:rsidR="00097EAE" w:rsidRDefault="00097EAE" w:rsidP="00097EAE">
      <w:pPr>
        <w:pStyle w:val="aa"/>
        <w:spacing w:after="0" w:line="360" w:lineRule="auto"/>
        <w:ind w:left="0"/>
        <w:jc w:val="both"/>
        <w:rPr>
          <w:rFonts w:ascii="David" w:hAnsi="David" w:cs="David"/>
          <w:sz w:val="24"/>
          <w:szCs w:val="24"/>
        </w:rPr>
      </w:pPr>
      <w:r>
        <w:rPr>
          <w:rFonts w:ascii="David" w:hAnsi="David" w:cs="David"/>
          <w:b/>
          <w:bCs/>
          <w:sz w:val="24"/>
          <w:szCs w:val="24"/>
          <w:rtl/>
        </w:rPr>
        <w:t>(-)</w:t>
      </w:r>
      <w:r>
        <w:rPr>
          <w:rFonts w:ascii="David" w:hAnsi="David" w:cs="David"/>
          <w:b/>
          <w:bCs/>
          <w:sz w:val="24"/>
          <w:szCs w:val="24"/>
          <w:rtl/>
        </w:rPr>
        <w:tab/>
        <w:t xml:space="preserve">חבלה במזיד ברכב ממניע גזעני, </w:t>
      </w:r>
      <w:r>
        <w:rPr>
          <w:rFonts w:ascii="David" w:hAnsi="David" w:cs="David"/>
          <w:sz w:val="24"/>
          <w:szCs w:val="24"/>
          <w:rtl/>
        </w:rPr>
        <w:t>לפי סעיף 413ה' בצירוף סעיף 144ו' + סעיף 29 לחוק.</w:t>
      </w:r>
    </w:p>
    <w:p w:rsidR="00097EAE" w:rsidRDefault="00097EAE" w:rsidP="00097EAE">
      <w:pPr>
        <w:pStyle w:val="aa"/>
        <w:spacing w:after="0" w:line="360" w:lineRule="auto"/>
        <w:ind w:left="0"/>
        <w:jc w:val="both"/>
        <w:rPr>
          <w:rFonts w:ascii="David" w:hAnsi="David" w:cs="David"/>
          <w:sz w:val="24"/>
          <w:szCs w:val="24"/>
        </w:rPr>
      </w:pPr>
      <w:r>
        <w:rPr>
          <w:rFonts w:ascii="David" w:hAnsi="David" w:cs="David"/>
          <w:b/>
          <w:bCs/>
          <w:sz w:val="24"/>
          <w:szCs w:val="24"/>
          <w:rtl/>
        </w:rPr>
        <w:t>(-)</w:t>
      </w:r>
      <w:r>
        <w:rPr>
          <w:rFonts w:ascii="David" w:hAnsi="David" w:cs="David"/>
          <w:b/>
          <w:bCs/>
          <w:sz w:val="24"/>
          <w:szCs w:val="24"/>
          <w:rtl/>
        </w:rPr>
        <w:tab/>
        <w:t xml:space="preserve">התפרעות, </w:t>
      </w:r>
      <w:r>
        <w:rPr>
          <w:rFonts w:ascii="David" w:hAnsi="David" w:cs="David"/>
          <w:sz w:val="24"/>
          <w:szCs w:val="24"/>
          <w:rtl/>
        </w:rPr>
        <w:t>לפי סעיף 152 + 29 לחוק.</w:t>
      </w:r>
      <w:r>
        <w:rPr>
          <w:rFonts w:ascii="David" w:hAnsi="David" w:cs="David"/>
          <w:b/>
          <w:bCs/>
          <w:sz w:val="24"/>
          <w:szCs w:val="24"/>
          <w:rtl/>
        </w:rPr>
        <w:t xml:space="preserve"> </w:t>
      </w:r>
    </w:p>
    <w:p w:rsidR="00870F64" w:rsidRDefault="00870F64">
      <w:pPr>
        <w:rPr>
          <w:rFonts w:ascii="David" w:hAnsi="David"/>
          <w:sz w:val="26"/>
          <w:szCs w:val="26"/>
          <w:rtl/>
        </w:rPr>
      </w:pPr>
    </w:p>
    <w:p w:rsidR="00900462" w:rsidRPr="00587C90" w:rsidRDefault="00900462">
      <w:pPr>
        <w:rPr>
          <w:rFonts w:ascii="David" w:hAnsi="David"/>
          <w:sz w:val="26"/>
          <w:szCs w:val="26"/>
          <w:rtl/>
        </w:rPr>
      </w:pPr>
    </w:p>
    <w:tbl>
      <w:tblPr>
        <w:tblStyle w:val="a5"/>
        <w:bidiVisual/>
        <w:tblW w:w="3685" w:type="dxa"/>
        <w:tblInd w:w="4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85"/>
      </w:tblGrid>
      <w:tr w:rsidR="00900462" w:rsidTr="00900462">
        <w:tc>
          <w:tcPr>
            <w:tcW w:w="3685" w:type="dxa"/>
            <w:tcBorders>
              <w:top w:val="nil"/>
              <w:left w:val="nil"/>
              <w:bottom w:val="single" w:sz="4" w:space="0" w:color="auto"/>
              <w:right w:val="nil"/>
            </w:tcBorders>
            <w:vAlign w:val="bottom"/>
            <w:hideMark/>
          </w:tcPr>
          <w:p w:rsidR="00900462" w:rsidRDefault="00900462">
            <w:pPr>
              <w:jc w:val="center"/>
              <w:rPr>
                <w:rFonts w:ascii="Courier New" w:hAnsi="Courier New" w:cstheme="minorBidi"/>
                <w:b/>
                <w:bCs/>
                <w:sz w:val="22"/>
                <w:szCs w:val="22"/>
              </w:rPr>
            </w:pPr>
            <w:r>
              <w:rPr>
                <w:noProof/>
              </w:rPr>
              <w:lastRenderedPageBreak/>
              <w:drawing>
                <wp:inline distT="0" distB="0" distL="0" distR="0">
                  <wp:extent cx="924560" cy="650240"/>
                  <wp:effectExtent l="0" t="0" r="8890" b="0"/>
                  <wp:docPr id="3" name="תמונה 3" descr="022768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0227683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4560" cy="650240"/>
                          </a:xfrm>
                          <a:prstGeom prst="rect">
                            <a:avLst/>
                          </a:prstGeom>
                          <a:noFill/>
                          <a:ln>
                            <a:noFill/>
                          </a:ln>
                        </pic:spPr>
                      </pic:pic>
                    </a:graphicData>
                  </a:graphic>
                </wp:inline>
              </w:drawing>
            </w:r>
          </w:p>
        </w:tc>
      </w:tr>
      <w:tr w:rsidR="00900462" w:rsidTr="00900462">
        <w:tc>
          <w:tcPr>
            <w:tcW w:w="3685" w:type="dxa"/>
            <w:tcBorders>
              <w:top w:val="single" w:sz="4" w:space="0" w:color="auto"/>
              <w:left w:val="nil"/>
              <w:bottom w:val="nil"/>
              <w:right w:val="nil"/>
            </w:tcBorders>
            <w:hideMark/>
          </w:tcPr>
          <w:p w:rsidR="00900462" w:rsidRDefault="00900462">
            <w:pPr>
              <w:spacing w:line="360" w:lineRule="auto"/>
              <w:jc w:val="center"/>
              <w:rPr>
                <w:rFonts w:ascii="Times New Roman" w:hAnsi="Times New Roman"/>
                <w:b/>
                <w:bCs/>
              </w:rPr>
            </w:pPr>
            <w:r>
              <w:rPr>
                <w:b/>
                <w:bCs/>
                <w:rtl/>
              </w:rPr>
              <w:t xml:space="preserve">י. ליפשיץ , שופט </w:t>
            </w:r>
          </w:p>
          <w:p w:rsidR="00900462" w:rsidRDefault="00900462">
            <w:pPr>
              <w:spacing w:line="360" w:lineRule="auto"/>
              <w:jc w:val="center"/>
              <w:rPr>
                <w:rFonts w:asciiTheme="minorHAnsi" w:hAnsiTheme="minorHAnsi"/>
                <w:b/>
                <w:bCs/>
                <w:sz w:val="22"/>
                <w:szCs w:val="22"/>
              </w:rPr>
            </w:pPr>
            <w:r>
              <w:rPr>
                <w:b/>
                <w:bCs/>
                <w:rtl/>
              </w:rPr>
              <w:t>[אב"ד]</w:t>
            </w:r>
          </w:p>
        </w:tc>
      </w:tr>
    </w:tbl>
    <w:p w:rsidR="00097EAE" w:rsidRPr="00900462" w:rsidRDefault="00900462" w:rsidP="00900462">
      <w:pPr>
        <w:pStyle w:val="aa"/>
        <w:spacing w:after="0" w:line="360" w:lineRule="auto"/>
        <w:ind w:left="0"/>
        <w:jc w:val="both"/>
        <w:rPr>
          <w:rFonts w:ascii="David" w:hAnsi="David" w:cs="David"/>
          <w:b/>
          <w:bCs/>
          <w:sz w:val="24"/>
          <w:szCs w:val="24"/>
          <w:u w:val="single"/>
        </w:rPr>
      </w:pPr>
      <w:r w:rsidRPr="00900462">
        <w:rPr>
          <w:rFonts w:ascii="David" w:hAnsi="David" w:cs="David" w:hint="cs"/>
          <w:b/>
          <w:bCs/>
          <w:sz w:val="24"/>
          <w:szCs w:val="24"/>
          <w:u w:val="single"/>
          <w:rtl/>
        </w:rPr>
        <w:t>השופטת גלית ציגלר</w:t>
      </w:r>
      <w:r>
        <w:rPr>
          <w:rFonts w:ascii="David" w:hAnsi="David" w:cs="David" w:hint="cs"/>
          <w:b/>
          <w:bCs/>
          <w:sz w:val="24"/>
          <w:szCs w:val="24"/>
          <w:u w:val="single"/>
          <w:rtl/>
        </w:rPr>
        <w:t>:</w:t>
      </w:r>
    </w:p>
    <w:p w:rsidR="00097EAE" w:rsidRDefault="00097EAE" w:rsidP="00900462">
      <w:pPr>
        <w:pStyle w:val="aa"/>
        <w:spacing w:after="0" w:line="360" w:lineRule="auto"/>
        <w:ind w:left="0"/>
        <w:jc w:val="both"/>
        <w:rPr>
          <w:rFonts w:ascii="David" w:hAnsi="David" w:cs="David"/>
          <w:sz w:val="24"/>
          <w:szCs w:val="24"/>
          <w:rtl/>
        </w:rPr>
      </w:pPr>
      <w:r>
        <w:rPr>
          <w:rFonts w:ascii="David" w:hAnsi="David" w:cs="David"/>
          <w:sz w:val="24"/>
          <w:szCs w:val="24"/>
          <w:rtl/>
        </w:rPr>
        <w:t xml:space="preserve">לאחר עיון מעמיק בחוות דעתו של חברי השופט ליפשיץ, בראיות שהוצגו מטעם הצדדים ובסיכומיהם כמו גם צפייה בכל הסרטונים המתעדים את האירוע, אני מסכימה ומצטרפת למסקנות אליהן הגיע חברי כך שהנאשם יורשע בכל העבירות שיוחסו לו בכתב האישום, ובעבירה של מעשה טרור של ניסיון רצח בפרט.   </w:t>
      </w:r>
    </w:p>
    <w:p w:rsidR="00097EAE" w:rsidRDefault="00097EAE" w:rsidP="00900462">
      <w:pPr>
        <w:pStyle w:val="aa"/>
        <w:spacing w:after="0" w:line="360" w:lineRule="auto"/>
        <w:ind w:left="0"/>
        <w:jc w:val="both"/>
        <w:rPr>
          <w:rFonts w:ascii="David" w:hAnsi="David" w:cs="David"/>
          <w:sz w:val="24"/>
          <w:szCs w:val="24"/>
          <w:rtl/>
        </w:rPr>
      </w:pPr>
    </w:p>
    <w:p w:rsidR="00097EAE" w:rsidRDefault="00097EAE" w:rsidP="00900462">
      <w:pPr>
        <w:pStyle w:val="aa"/>
        <w:spacing w:after="0" w:line="360" w:lineRule="auto"/>
        <w:ind w:left="0"/>
        <w:jc w:val="both"/>
        <w:rPr>
          <w:rFonts w:ascii="David" w:hAnsi="David" w:cs="David"/>
          <w:sz w:val="24"/>
          <w:szCs w:val="24"/>
          <w:rtl/>
        </w:rPr>
      </w:pPr>
      <w:r>
        <w:rPr>
          <w:rFonts w:ascii="David" w:hAnsi="David" w:cs="David"/>
          <w:sz w:val="24"/>
          <w:szCs w:val="24"/>
          <w:rtl/>
        </w:rPr>
        <w:t xml:space="preserve">ב"כ הנאשם בסיכומיו פירט ותיאר באריכות צעד אחר צעד כיצד יכול היה הנאשם להבין שמור ג'נאשוילי (המתלונן) החליט לבצע פיגוע במתקהלים הערבים ונסע במהירות לתוך הקהל כדי לפגוע בהם, תוך שהפנה לסרטונים השונים, לפעולותיו של המתלונן במהלך האירוע ולדעותיו המשתקפות בפרסומי פייסבוק. </w:t>
      </w:r>
    </w:p>
    <w:p w:rsidR="00097EAE" w:rsidRDefault="00097EAE" w:rsidP="00900462">
      <w:pPr>
        <w:pStyle w:val="aa"/>
        <w:spacing w:after="0" w:line="360" w:lineRule="auto"/>
        <w:ind w:left="0"/>
        <w:jc w:val="both"/>
        <w:rPr>
          <w:rFonts w:ascii="David" w:hAnsi="David" w:cs="David"/>
          <w:sz w:val="24"/>
          <w:szCs w:val="24"/>
          <w:rtl/>
        </w:rPr>
      </w:pPr>
    </w:p>
    <w:p w:rsidR="00097EAE" w:rsidRDefault="00097EAE" w:rsidP="00900462">
      <w:pPr>
        <w:pStyle w:val="aa"/>
        <w:spacing w:after="0" w:line="360" w:lineRule="auto"/>
        <w:ind w:left="0"/>
        <w:jc w:val="both"/>
        <w:rPr>
          <w:rFonts w:ascii="David" w:hAnsi="David" w:cs="David"/>
          <w:sz w:val="24"/>
          <w:szCs w:val="24"/>
          <w:rtl/>
        </w:rPr>
      </w:pPr>
      <w:r>
        <w:rPr>
          <w:rFonts w:ascii="David" w:hAnsi="David" w:cs="David"/>
          <w:sz w:val="24"/>
          <w:szCs w:val="24"/>
          <w:rtl/>
        </w:rPr>
        <w:t xml:space="preserve">השופט ליפשיץ בחוות דעתו הרחיב מאד ונימק מדוע </w:t>
      </w:r>
      <w:r w:rsidRPr="00900462">
        <w:rPr>
          <w:rFonts w:ascii="David" w:hAnsi="David" w:cs="David"/>
          <w:sz w:val="24"/>
          <w:szCs w:val="24"/>
          <w:rtl/>
        </w:rPr>
        <w:t>אין</w:t>
      </w:r>
      <w:r>
        <w:rPr>
          <w:rFonts w:ascii="David" w:hAnsi="David" w:cs="David"/>
          <w:sz w:val="24"/>
          <w:szCs w:val="24"/>
          <w:rtl/>
        </w:rPr>
        <w:t xml:space="preserve"> מדובר בפיגוע שביצע המתלונן במתפרעים, ואף אני מצטרפת למסקנותיו, כאשר התבוננות באירוע שלב אחרי שלב מלמדת כי לא כוונת פיגוע בערבים עמדה ביסוד מעשיו של המתלונן, אלא חוסר ישע וחרדה גדולה מפני הצפוי לו מידי המתקהלים (שחלקם היו רעולי פנים), אשר הבחינו ברכבו שעליו היו תלויים דגלי ישראל, החלו להתקרב לעברו, ליידות עליו אבנים וחפצים וניסו לפתוח את דלת הרכב כדי להגיע אליו. עדותו של מור על מה שאירע לו ועל מה שזכר היתה אמינה ואותנטית, הוא הסביר את אובדן העשתונות שחווה אל מול הפורעים שזרקו על רכבו אבנים וחפצים ורצו לעברו</w:t>
      </w:r>
      <w:r w:rsidRPr="00900462">
        <w:rPr>
          <w:rFonts w:ascii="David" w:hAnsi="David" w:cs="David"/>
          <w:sz w:val="24"/>
          <w:szCs w:val="24"/>
          <w:rtl/>
        </w:rPr>
        <w:t xml:space="preserve"> ב</w:t>
      </w:r>
      <w:r>
        <w:rPr>
          <w:rFonts w:ascii="David" w:hAnsi="David" w:cs="David"/>
          <w:sz w:val="24"/>
          <w:szCs w:val="24"/>
          <w:rtl/>
        </w:rPr>
        <w:t xml:space="preserve">צעקות "שהנה יהודי" ו"בואו נהרוג אותו", וגם את חוסר האונים שלו כשהבין שאין לו מוצא אחר. </w:t>
      </w:r>
    </w:p>
    <w:p w:rsidR="00097EAE" w:rsidRDefault="00097EAE" w:rsidP="00900462">
      <w:pPr>
        <w:pStyle w:val="aa"/>
        <w:spacing w:after="0" w:line="360" w:lineRule="auto"/>
        <w:ind w:left="0"/>
        <w:jc w:val="both"/>
        <w:rPr>
          <w:rFonts w:ascii="David" w:hAnsi="David" w:cs="David"/>
          <w:sz w:val="24"/>
          <w:szCs w:val="24"/>
          <w:rtl/>
        </w:rPr>
      </w:pPr>
    </w:p>
    <w:p w:rsidR="00097EAE" w:rsidRDefault="00097EAE" w:rsidP="00900462">
      <w:pPr>
        <w:pStyle w:val="aa"/>
        <w:spacing w:after="0" w:line="360" w:lineRule="auto"/>
        <w:ind w:left="0"/>
        <w:jc w:val="both"/>
        <w:rPr>
          <w:rFonts w:ascii="David" w:hAnsi="David" w:cs="David"/>
          <w:sz w:val="24"/>
          <w:szCs w:val="24"/>
          <w:rtl/>
        </w:rPr>
      </w:pPr>
      <w:r>
        <w:rPr>
          <w:rFonts w:ascii="David" w:hAnsi="David" w:cs="David"/>
          <w:sz w:val="24"/>
          <w:szCs w:val="24"/>
          <w:rtl/>
        </w:rPr>
        <w:t>צפייה בסרטון (ת/30) מראה כיצד רכבו של מור מאט ונעצר קצת אחרי כיכר שסמוכה למקום ההתקהלות והקמת המתרסים החוסמים את הכביש. ניכר שמור מבחין במתקהלים החוסמים את הדרך, ורכב לבן נוסף מגיע מאחוריו וחוסם את היציאה דרך הכיכר. בהמשך מור משתהה מעט ואז נוסע מספר מטרים לאחור לכיוון הכיכר, אלא שבדיוק באותן שניות נראים המתפרעים רצים לעברו ומיידים על רכבו אבנים, ואחד מהם אף מנסה לפתוח את דלת הרכב. לכאורה עמדה למור האפשרות להמשיך בנסיעה לאחור, אלא שזו כבר היתה אפשרות תיאורטית בלבד, שכן בשלב זה כבר הגיעו כשבעה או שמונה מתפרעים אל הרכב זרקו עליו אבנים מקרוב וניסו לפתוח את הדלת.</w:t>
      </w:r>
    </w:p>
    <w:p w:rsidR="00097EAE" w:rsidRDefault="00097EAE" w:rsidP="00900462">
      <w:pPr>
        <w:pStyle w:val="aa"/>
        <w:spacing w:after="0" w:line="360" w:lineRule="auto"/>
        <w:ind w:left="0"/>
        <w:jc w:val="both"/>
        <w:rPr>
          <w:rFonts w:ascii="David" w:hAnsi="David" w:cs="David"/>
          <w:sz w:val="24"/>
          <w:szCs w:val="24"/>
          <w:rtl/>
        </w:rPr>
      </w:pPr>
    </w:p>
    <w:p w:rsidR="00097EAE" w:rsidRDefault="00097EAE" w:rsidP="00900462">
      <w:pPr>
        <w:pStyle w:val="aa"/>
        <w:spacing w:after="0" w:line="360" w:lineRule="auto"/>
        <w:ind w:left="0"/>
        <w:jc w:val="both"/>
        <w:rPr>
          <w:rFonts w:ascii="David" w:hAnsi="David" w:cs="David"/>
          <w:sz w:val="24"/>
          <w:szCs w:val="24"/>
          <w:rtl/>
        </w:rPr>
      </w:pPr>
      <w:r>
        <w:rPr>
          <w:rFonts w:ascii="David" w:hAnsi="David" w:cs="David"/>
          <w:sz w:val="24"/>
          <w:szCs w:val="24"/>
          <w:rtl/>
        </w:rPr>
        <w:lastRenderedPageBreak/>
        <w:t xml:space="preserve">הצירוף של המצב המלחיץ והאינטנסיבי שנוצר באותן שניות כשהוא מותקף, ולנוכח דברי אחיו שעמו שוחח בטלפון באותו זמן -  שילחץ על דוושת הגז ולא ירפה – הוליכו את מור להחלטה שלמרות המתפרעים החוסמים את הכביש הוא ימשיך בנסיעה לבית אמו כמתוכנן.  </w:t>
      </w:r>
    </w:p>
    <w:p w:rsidR="00097EAE" w:rsidRDefault="00097EAE" w:rsidP="00900462">
      <w:pPr>
        <w:pStyle w:val="aa"/>
        <w:spacing w:after="0" w:line="360" w:lineRule="auto"/>
        <w:ind w:left="0"/>
        <w:jc w:val="both"/>
        <w:rPr>
          <w:rFonts w:ascii="David" w:hAnsi="David" w:cs="David"/>
          <w:sz w:val="24"/>
          <w:szCs w:val="24"/>
          <w:rtl/>
        </w:rPr>
      </w:pPr>
    </w:p>
    <w:p w:rsidR="00097EAE" w:rsidRDefault="00097EAE" w:rsidP="00900462">
      <w:pPr>
        <w:pStyle w:val="aa"/>
        <w:spacing w:after="0" w:line="360" w:lineRule="auto"/>
        <w:ind w:left="0"/>
        <w:jc w:val="both"/>
        <w:rPr>
          <w:rFonts w:ascii="David" w:hAnsi="David" w:cs="David"/>
          <w:sz w:val="24"/>
          <w:szCs w:val="24"/>
          <w:rtl/>
        </w:rPr>
      </w:pPr>
      <w:r>
        <w:rPr>
          <w:rFonts w:ascii="David" w:hAnsi="David" w:cs="David"/>
          <w:sz w:val="24"/>
          <w:szCs w:val="24"/>
          <w:rtl/>
        </w:rPr>
        <w:t xml:space="preserve">לטעמי, הנסיבות לעיל לצד התנהלותו של מור מתחילת האירוע ועד להמשך הנסיעה לכיוון המתפרעים שבכביש, מצביעה על חוסר ברירה ועל רצון לברוח מהסכנה המתקרבת אליו בדרך היחידה שראה כאפשרית באותן שניות (ראו גם דברי העדה השכנה נ' והתרשמותה הדומה ממצבו של מור באותו רגע. עדות מיום 27.2.22 עמודים 70-71 לפרוטוקול).          </w:t>
      </w:r>
    </w:p>
    <w:p w:rsidR="00097EAE" w:rsidRDefault="00097EAE" w:rsidP="00900462">
      <w:pPr>
        <w:pStyle w:val="aa"/>
        <w:spacing w:after="0" w:line="360" w:lineRule="auto"/>
        <w:ind w:left="0"/>
        <w:jc w:val="both"/>
        <w:rPr>
          <w:rFonts w:ascii="David" w:hAnsi="David" w:cs="David"/>
          <w:sz w:val="24"/>
          <w:szCs w:val="24"/>
          <w:rtl/>
        </w:rPr>
      </w:pPr>
    </w:p>
    <w:p w:rsidR="00097EAE" w:rsidRDefault="00097EAE" w:rsidP="00900462">
      <w:pPr>
        <w:pStyle w:val="aa"/>
        <w:spacing w:after="0" w:line="360" w:lineRule="auto"/>
        <w:ind w:left="0"/>
        <w:jc w:val="both"/>
        <w:rPr>
          <w:rFonts w:ascii="David" w:hAnsi="David" w:cs="David"/>
          <w:sz w:val="24"/>
          <w:szCs w:val="24"/>
          <w:rtl/>
        </w:rPr>
      </w:pPr>
      <w:r>
        <w:rPr>
          <w:rFonts w:ascii="David" w:hAnsi="David" w:cs="David"/>
          <w:sz w:val="24"/>
          <w:szCs w:val="24"/>
          <w:rtl/>
        </w:rPr>
        <w:t xml:space="preserve">לטעמי, הניסיון להטיל על מור אחריות כלשהי לאירוע הוא מקומם ודינו להידחות על הסף. </w:t>
      </w:r>
    </w:p>
    <w:p w:rsidR="00097EAE" w:rsidRDefault="00097EAE" w:rsidP="00900462">
      <w:pPr>
        <w:pStyle w:val="aa"/>
        <w:spacing w:after="0" w:line="360" w:lineRule="auto"/>
        <w:ind w:left="0"/>
        <w:jc w:val="both"/>
        <w:rPr>
          <w:rFonts w:ascii="David" w:hAnsi="David" w:cs="David"/>
          <w:sz w:val="24"/>
          <w:szCs w:val="24"/>
          <w:rtl/>
        </w:rPr>
      </w:pPr>
    </w:p>
    <w:p w:rsidR="00097EAE" w:rsidRDefault="00097EAE" w:rsidP="00900462">
      <w:pPr>
        <w:pStyle w:val="aa"/>
        <w:spacing w:after="0" w:line="360" w:lineRule="auto"/>
        <w:ind w:left="0"/>
        <w:jc w:val="both"/>
        <w:rPr>
          <w:rFonts w:ascii="David" w:hAnsi="David" w:cs="David"/>
          <w:sz w:val="24"/>
          <w:szCs w:val="24"/>
          <w:rtl/>
        </w:rPr>
      </w:pPr>
      <w:r>
        <w:rPr>
          <w:rFonts w:ascii="David" w:hAnsi="David" w:cs="David"/>
          <w:sz w:val="24"/>
          <w:szCs w:val="24"/>
          <w:rtl/>
        </w:rPr>
        <w:t xml:space="preserve">עוד אוסיף, שאפילו אם הייתי מקבלת את טענת ההגנה כי הנאשם אולי יכול היה להבין שמתרחש פיגוע, כשראה את נסיעת רכבו של מור וכששמע את הצעקות ש"הילד מת" – וכאמור לא  מצאתי לכך שום בסיס ממשי – הרי שמרגע שמור יצא מהרכב והחלה ההתנפלות המסיבית של ההמון הזועם עליו – ברור כבר ששום פיגוע אינו מתרחש ואין באפשרותו של מור לפגוע במי מהרודפים אחריו, קל וחומר במצב אותו תיאר הנאשם עת ראה את מור שוכב על הארץ, מוכה קשות על ידי הפורעים ומדמם (ראו לדוגמה - ת/50 סעיפים 10-15).   </w:t>
      </w:r>
    </w:p>
    <w:p w:rsidR="00097EAE" w:rsidRDefault="00097EAE" w:rsidP="00900462">
      <w:pPr>
        <w:pStyle w:val="aa"/>
        <w:spacing w:after="0" w:line="360" w:lineRule="auto"/>
        <w:ind w:left="0"/>
        <w:jc w:val="both"/>
        <w:rPr>
          <w:rFonts w:ascii="David" w:hAnsi="David" w:cs="David"/>
          <w:sz w:val="24"/>
          <w:szCs w:val="24"/>
          <w:rtl/>
        </w:rPr>
      </w:pPr>
    </w:p>
    <w:p w:rsidR="00097EAE" w:rsidRDefault="00097EAE" w:rsidP="00900462">
      <w:pPr>
        <w:pStyle w:val="aa"/>
        <w:spacing w:after="0" w:line="360" w:lineRule="auto"/>
        <w:ind w:left="0"/>
        <w:jc w:val="both"/>
        <w:rPr>
          <w:rFonts w:ascii="David" w:hAnsi="David" w:cs="David"/>
          <w:sz w:val="24"/>
          <w:szCs w:val="24"/>
          <w:rtl/>
        </w:rPr>
      </w:pPr>
      <w:r>
        <w:rPr>
          <w:rFonts w:ascii="David" w:hAnsi="David" w:cs="David"/>
          <w:sz w:val="24"/>
          <w:szCs w:val="24"/>
          <w:rtl/>
        </w:rPr>
        <w:t xml:space="preserve">אני מסכימה עם חברי השופט ליפשיץ כי נסיבות האירוע הכלליות לצד מעשיו הספציפיים של הנאשם כעולה מהאימרות שמסר ומעדותו, כמו גם מיתר הראיות שהוצגו, מצביעים על הכוונה להביא למותו של מור משום העובדה שהוא יהודי. הנאשם הגיע למקום כשהוא חדור זעם ובכוונתו "להגן" על עירו, החל בזריקת אבנים על רכבו של מור שנשא דגלי ישראל, ואחר כך חבר למתפרעים הרבים שרדפו אחרי מור אשר היכו אותו מכות קשות והפילו אותו על הארץ, ולא הפסיקו לחבוט בו בעוצמה כל אותו זמן. הנאשם עצמו הצטייד במקל מעץ שאורכו כ – 50 ס"מ, תחילה שבר באמצעותו את השמשה האחורית של הרכב, ואחר כך הצטרף לרודפים ובעצמו היכה את מור מכה אחת חזקה בראשו בשעה שכבר היה שכוב ומדמם על הארץ חסר כל יכולת לזוז או להתנגד. העובדה שהנאשם היה מודע לכל מעשי המתפרעים האחרים (מודע למכות, לבעיטות לאגרופים, ולשימוש במקלות ואבנים כנגד המתלונן), הוא הבין את משמעות המכות הקשות ויכול היה גם להבין את הפוטנציאל לגרום מותו של המתלונן בשל כך, ולמרות הכל בחר להצטרף אליהם ולתת מכה משל עצמו, בראש – מקום רגיש וחיוני שכבר היה חבול ומדמם, באמצעות מקל מעץ שבכוחו לשבור חלון רכב - וצירופם של כל אלו מלמד על כך שלא ניתן להפריד את חלקו מחלקם של כל האחרים או להתבונן בו בפריזמה הצרה של מכה אחת בלבד. לטעמי, יש לייחס לנאשם את מטרת אותו חלק בהמון – עליו הוא נמנה – שביקש להביא למות המתלונן, ועל כן להרשיעו בעבירה של מעשה טרור של ניסיון רצח בצוותא.   </w:t>
      </w:r>
    </w:p>
    <w:p w:rsidR="00900462" w:rsidRDefault="00900462" w:rsidP="00900462">
      <w:pPr>
        <w:pStyle w:val="aa"/>
        <w:spacing w:after="0" w:line="360" w:lineRule="auto"/>
        <w:ind w:left="0"/>
        <w:jc w:val="both"/>
        <w:rPr>
          <w:rFonts w:ascii="David" w:hAnsi="David" w:cs="David"/>
          <w:sz w:val="24"/>
          <w:szCs w:val="24"/>
          <w:rtl/>
        </w:rPr>
      </w:pPr>
    </w:p>
    <w:tbl>
      <w:tblPr>
        <w:tblStyle w:val="a5"/>
        <w:bidiVisual/>
        <w:tblW w:w="0" w:type="auto"/>
        <w:tblInd w:w="51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06"/>
      </w:tblGrid>
      <w:tr w:rsidR="00900462" w:rsidTr="00900462">
        <w:tc>
          <w:tcPr>
            <w:tcW w:w="2406" w:type="dxa"/>
            <w:tcBorders>
              <w:top w:val="nil"/>
              <w:left w:val="nil"/>
              <w:bottom w:val="single" w:sz="4" w:space="0" w:color="auto"/>
              <w:right w:val="nil"/>
            </w:tcBorders>
            <w:vAlign w:val="bottom"/>
            <w:hideMark/>
          </w:tcPr>
          <w:p w:rsidR="00900462" w:rsidRDefault="00900462">
            <w:pPr>
              <w:jc w:val="center"/>
              <w:rPr>
                <w:rFonts w:ascii="Courier New" w:hAnsi="Courier New" w:cstheme="minorBidi"/>
                <w:b/>
                <w:bCs/>
                <w:sz w:val="22"/>
                <w:szCs w:val="22"/>
              </w:rPr>
            </w:pPr>
            <w:r>
              <w:rPr>
                <w:rFonts w:ascii="Courier New" w:hAnsi="Courier New"/>
                <w:b/>
                <w:bCs/>
                <w:noProof/>
              </w:rPr>
              <w:drawing>
                <wp:inline distT="0" distB="0" distL="0" distR="0">
                  <wp:extent cx="1300480" cy="833120"/>
                  <wp:effectExtent l="0" t="0" r="0" b="508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00480" cy="833120"/>
                          </a:xfrm>
                          <a:prstGeom prst="rect">
                            <a:avLst/>
                          </a:prstGeom>
                          <a:noFill/>
                          <a:ln>
                            <a:noFill/>
                          </a:ln>
                        </pic:spPr>
                      </pic:pic>
                    </a:graphicData>
                  </a:graphic>
                </wp:inline>
              </w:drawing>
            </w:r>
          </w:p>
        </w:tc>
      </w:tr>
      <w:tr w:rsidR="00900462" w:rsidTr="00900462">
        <w:tc>
          <w:tcPr>
            <w:tcW w:w="2406" w:type="dxa"/>
            <w:tcBorders>
              <w:top w:val="single" w:sz="4" w:space="0" w:color="auto"/>
              <w:left w:val="nil"/>
              <w:bottom w:val="nil"/>
              <w:right w:val="nil"/>
            </w:tcBorders>
            <w:hideMark/>
          </w:tcPr>
          <w:p w:rsidR="00900462" w:rsidRDefault="00900462">
            <w:pPr>
              <w:spacing w:line="360" w:lineRule="auto"/>
              <w:jc w:val="center"/>
              <w:rPr>
                <w:rFonts w:ascii="Times New Roman" w:hAnsi="Times New Roman"/>
                <w:b/>
                <w:bCs/>
              </w:rPr>
            </w:pPr>
            <w:r>
              <w:rPr>
                <w:b/>
                <w:bCs/>
                <w:rtl/>
              </w:rPr>
              <w:t>ג. ציגלר , שופטת</w:t>
            </w:r>
          </w:p>
        </w:tc>
      </w:tr>
    </w:tbl>
    <w:p w:rsidR="002A5862" w:rsidRDefault="002A5862" w:rsidP="00097EAE">
      <w:pPr>
        <w:rPr>
          <w:rFonts w:ascii="David" w:hAnsi="David"/>
          <w:b/>
          <w:bCs/>
          <w:u w:val="single"/>
          <w:rtl/>
        </w:rPr>
      </w:pPr>
    </w:p>
    <w:p w:rsidR="00097EAE" w:rsidRDefault="00097EAE" w:rsidP="00097EAE">
      <w:pPr>
        <w:rPr>
          <w:rFonts w:ascii="David" w:hAnsi="David"/>
          <w:b/>
          <w:bCs/>
          <w:u w:val="single"/>
        </w:rPr>
      </w:pPr>
      <w:r>
        <w:rPr>
          <w:rFonts w:ascii="David" w:hAnsi="David"/>
          <w:b/>
          <w:bCs/>
          <w:u w:val="single"/>
          <w:rtl/>
        </w:rPr>
        <w:t>השופט שמואל מנדלבום:</w:t>
      </w:r>
    </w:p>
    <w:p w:rsidR="00097EAE" w:rsidRDefault="00097EAE" w:rsidP="00097EAE">
      <w:pPr>
        <w:rPr>
          <w:rFonts w:asciiTheme="minorHAnsi" w:hAnsiTheme="minorHAnsi" w:cstheme="minorBidi"/>
          <w:b/>
          <w:bCs/>
          <w:sz w:val="22"/>
          <w:szCs w:val="22"/>
          <w:u w:val="single"/>
          <w:rtl/>
        </w:rPr>
      </w:pPr>
    </w:p>
    <w:p w:rsidR="00097EAE" w:rsidRDefault="00097EAE" w:rsidP="00097EAE">
      <w:pPr>
        <w:spacing w:line="360" w:lineRule="auto"/>
        <w:jc w:val="both"/>
        <w:rPr>
          <w:rFonts w:ascii="David" w:hAnsi="David"/>
          <w:rtl/>
        </w:rPr>
      </w:pPr>
      <w:r>
        <w:rPr>
          <w:rFonts w:ascii="David" w:hAnsi="David"/>
          <w:rtl/>
        </w:rPr>
        <w:t>קראתי בעיון את חוות דעתו של חברי האב"ד השופט י.ליפשיץ ואני מצטרף לניתוחו העובדתי והמשפטי ולהמלצתו לפיה יש להרשיע את הנאשם במעשה טרור של ניסיון לרצח וכן בעבירות הנוספות שפורטו בסעיף 24 לחוות הדעת.</w:t>
      </w:r>
    </w:p>
    <w:p w:rsidR="00097EAE" w:rsidRDefault="00097EAE" w:rsidP="00097EAE">
      <w:pPr>
        <w:spacing w:line="360" w:lineRule="auto"/>
        <w:jc w:val="both"/>
        <w:rPr>
          <w:rFonts w:ascii="David" w:hAnsi="David"/>
          <w:rtl/>
        </w:rPr>
      </w:pPr>
    </w:p>
    <w:p w:rsidR="00097EAE" w:rsidRDefault="00097EAE" w:rsidP="002A5862">
      <w:pPr>
        <w:spacing w:line="360" w:lineRule="auto"/>
        <w:jc w:val="both"/>
        <w:rPr>
          <w:rFonts w:ascii="David" w:hAnsi="David"/>
          <w:rtl/>
        </w:rPr>
      </w:pPr>
      <w:r>
        <w:rPr>
          <w:rFonts w:ascii="David" w:hAnsi="David"/>
          <w:rtl/>
        </w:rPr>
        <w:t>על האמור בחוות הדעת אבקש להוסיף שתי הערות קצרות מטעמי.</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b/>
          <w:bCs/>
          <w:rtl/>
        </w:rPr>
        <w:t>ראשית</w:t>
      </w:r>
      <w:r>
        <w:rPr>
          <w:rFonts w:ascii="David" w:hAnsi="David"/>
          <w:rtl/>
        </w:rPr>
        <w:t>, אתייחס לטענות ההגנה שהקדישה חלקים נרחבים מחקירתו הנגדית של המתלונן  ומסיכומיה, לניסיון להציג את המתלונן – קורבן התקיפה האכזרית שבה נטל הנאשם חלק - כגזען אשר דהר ברכבו באופן מכוון לתוך ההמון של אזרחים ערביים שעמדו מולו, ושלדברי ב"כ הנאשם "</w:t>
      </w:r>
      <w:r>
        <w:rPr>
          <w:rFonts w:ascii="David" w:hAnsi="David"/>
          <w:b/>
          <w:bCs/>
          <w:rtl/>
        </w:rPr>
        <w:t>רצונו היה חד משמעי, ליסוע ישר ולפגוע בכל מי שנקרה בדרכו</w:t>
      </w:r>
      <w:r>
        <w:rPr>
          <w:rFonts w:ascii="David" w:hAnsi="David"/>
          <w:rtl/>
        </w:rPr>
        <w:t>" (סעיף 42 לסיכומי ההגנה).</w:t>
      </w:r>
    </w:p>
    <w:p w:rsidR="00097EAE" w:rsidRDefault="00097EAE" w:rsidP="00097EAE">
      <w:pPr>
        <w:spacing w:line="360" w:lineRule="auto"/>
        <w:jc w:val="both"/>
        <w:rPr>
          <w:rFonts w:ascii="David" w:hAnsi="David"/>
          <w:rtl/>
        </w:rPr>
      </w:pPr>
      <w:r>
        <w:rPr>
          <w:rFonts w:ascii="David" w:hAnsi="David"/>
          <w:rtl/>
        </w:rPr>
        <w:t xml:space="preserve">אני מצטרף לקביעתו הברורה של השופט ליפשיץ לפיה יש לדחות  מכל וכל קו טיעון זה  של ההגנה. בהקשר זה אני מצרף גם את התרשמותי הבלתי אמצעית ממהימנות עדותו של המתלונן, אשר העיד בפנינו באופן אותנטי וכנה על אירוע התקיפה החמור והקשה שעבר, הציג באופן משכנע את גרסתו לפיה מטרתו בנסיעתו המהירה קדימה מה"כיכר" ל- "לצומת" (כהגדרתם בסעיף 6 לחוות הדעת), הייתה להציל את עצמו לאחר שכבר הותקף בכיכר ולדבריו </w:t>
      </w:r>
      <w:r>
        <w:rPr>
          <w:rFonts w:ascii="David" w:hAnsi="David"/>
          <w:b/>
          <w:bCs/>
          <w:rtl/>
        </w:rPr>
        <w:t>"...החלטתי שאני נס על נפשי , עושה הכל כדי להילחם על החיים שלי ומבין שאם  אני עכשיו לא עושה משהו כדי להגיע כמה שיותר קרוב לבית של אימא שלי ששמה אנשים מכירים אותי, אני אומר על החיים שלי תודה ולהתראות..."</w:t>
      </w:r>
      <w:r>
        <w:rPr>
          <w:rFonts w:ascii="David" w:hAnsi="David"/>
          <w:rtl/>
        </w:rPr>
        <w:t xml:space="preserve">(עמ' 32 לפר' מיום 27.2.22, ש' 18-21), ושלל לחלוטין כל רצון מכוון מצדו לפגוע בהמון שעמד מולו (שם, עמ' 44 ש' 1-2). </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rtl/>
        </w:rPr>
        <w:t>לעדות המתלונן הצטרפו שורת ראיות "חיצוניות" שאימתו ותמכו בגרסתו ובכלל זה הודעות אמו שהוגשו בהסכמה (ת/76- ת/77), עדות אחיו שתיאר את השיחה שקיים ב"זמן אמיתי" עם המתלונן ובה הציע לו לנסוע מהר ככל האפשר מהכיכר לכיוון דירת אמם וכן סרטון 13.12.44 (חלק מ-ת/30) שבו צפיתי מספר פעמים, ואשר כמפורט בסעיף 8 לחוות הדעת אף הוא תומך ומחזק את עדות המתלונן.</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rtl/>
        </w:rPr>
        <w:t>לאור ראיות  אובייקטיביות אלו יש לדחות מכל וכל גם  את ניסיון ההגנה לטעון לאירוע דריסה מכוון על בסיס התבטאויות קודמות של המתלונן בין היתר ברשתות החברתיות. לעמדתי, היקף הטיעון שהוקדש לנושא זה על ידי ההגנה חרג באופן ממשי מההיקף הלגיטימי שניתן היה לקבל אילו  ביקשה ההגנה לעשות שימוש באותן התבטאויות רק בכדי לערער את מהימנותו של המתלונן או לחזק את סבירות גרסתה לאירוע דריסה מכוון.</w:t>
      </w:r>
    </w:p>
    <w:p w:rsidR="00097EAE" w:rsidRDefault="00097EAE" w:rsidP="00097EAE">
      <w:pPr>
        <w:spacing w:line="360" w:lineRule="auto"/>
        <w:jc w:val="both"/>
        <w:rPr>
          <w:rFonts w:ascii="David" w:hAnsi="David"/>
          <w:b/>
          <w:bCs/>
          <w:rtl/>
        </w:rPr>
      </w:pPr>
    </w:p>
    <w:p w:rsidR="00097EAE" w:rsidRDefault="00097EAE" w:rsidP="00097EAE">
      <w:pPr>
        <w:spacing w:line="360" w:lineRule="auto"/>
        <w:jc w:val="both"/>
        <w:rPr>
          <w:rFonts w:ascii="David" w:hAnsi="David"/>
          <w:rtl/>
        </w:rPr>
      </w:pPr>
      <w:r>
        <w:rPr>
          <w:rFonts w:ascii="David" w:hAnsi="David"/>
          <w:b/>
          <w:bCs/>
          <w:rtl/>
        </w:rPr>
        <w:t xml:space="preserve">שנית, </w:t>
      </w:r>
      <w:r>
        <w:rPr>
          <w:rFonts w:ascii="David" w:hAnsi="David"/>
          <w:rtl/>
        </w:rPr>
        <w:t>ההגנה בסיכומיה (סעיף 99) פירטה שורה של אינדיקציות אשר לטענתה מובילות באופן ברור למסקנה כי לא התגבשה אצל הנאשם החלטה להמית או כוונת קטילה אצל הנאשם. בכלל זה ציינה ההגנה כי הנאשם היכה את המתלונן מכה בודדת, אמנם בראשו אך באמצעות רגל עץ קלת משקל, כי משך התקיפה של המתלונן בכללותה נמדד בשניות לא רבות, הנאשם עזב את מקום האירוע מיד לאחר המכה ולא המשיך לפגוע במתלונן, וכי הוכח שהמתלונן לאחר שהוכה בין היתר על ידי הנאשם  עבר למקום אחר שבו הוא קיבל טיפול רפואי, ובכך יש להעיד כי הוא לא נפגע באופן כה חמור בתקיפה.  גם בענין זה אצטרף לכל האמור בענין זה בחוות דעתו של השופט ליפשיץ על כך שיש לדחות את הניסיון המלאכותי של ההגנה לבודד את מעשי הנאשם ולהפרידם מהאירוע הכולל שבו הנאשם נטל חלק.</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rtl/>
        </w:rPr>
        <w:t xml:space="preserve">הנאשם אישר בהודעותיו במשטרה ובפני חוקי השב"כ כי ראה וידע </w:t>
      </w:r>
      <w:r>
        <w:rPr>
          <w:rFonts w:ascii="David" w:hAnsi="David"/>
          <w:u w:val="single"/>
          <w:rtl/>
        </w:rPr>
        <w:t>בעת</w:t>
      </w:r>
      <w:r>
        <w:rPr>
          <w:rFonts w:ascii="David" w:hAnsi="David"/>
          <w:rtl/>
        </w:rPr>
        <w:t xml:space="preserve"> שהיכה את המתלונן בראשו במקל כי הוא נוטל חלק באירוע כולל שמסגרתו המתלונן כבר הוכה קשות ע"י ההמון שהנאשם היה חלק ממנו </w:t>
      </w:r>
      <w:r>
        <w:rPr>
          <w:rFonts w:ascii="David" w:hAnsi="David"/>
          <w:b/>
          <w:bCs/>
          <w:rtl/>
        </w:rPr>
        <w:t>"...בבעיטות, אגרופים, אבנים, מקלות וזכוכיות...."</w:t>
      </w:r>
      <w:r>
        <w:rPr>
          <w:rFonts w:ascii="David" w:hAnsi="David"/>
          <w:rtl/>
        </w:rPr>
        <w:t>(ת/50 ס' 28.15).</w:t>
      </w:r>
    </w:p>
    <w:p w:rsidR="00097EAE" w:rsidRDefault="00097EAE" w:rsidP="00097EAE">
      <w:pPr>
        <w:spacing w:line="360" w:lineRule="auto"/>
        <w:jc w:val="both"/>
        <w:rPr>
          <w:rFonts w:ascii="David" w:hAnsi="David"/>
          <w:rtl/>
        </w:rPr>
      </w:pPr>
      <w:r>
        <w:rPr>
          <w:rFonts w:ascii="David" w:hAnsi="David"/>
          <w:rtl/>
        </w:rPr>
        <w:t>הנאשם אף מסר בחקירתו מיום 8.6.21 (ת/18) כי כאשר היכה את המתלונן "...</w:t>
      </w:r>
      <w:r>
        <w:rPr>
          <w:rFonts w:ascii="David" w:hAnsi="David"/>
          <w:b/>
          <w:bCs/>
          <w:rtl/>
        </w:rPr>
        <w:t>הוא היה שוכב על הגב שלו והבטן למעלה. היהודי, היה כולו דם, לא צעק כלום, הנהג היה עם עיניים פקוחות וכל הראש שלו דם..."(</w:t>
      </w:r>
      <w:r>
        <w:rPr>
          <w:rFonts w:ascii="David" w:hAnsi="David"/>
          <w:rtl/>
        </w:rPr>
        <w:t>שם, ש' 24-26) (בעניין זה אצטרף גם לקביעתו של השופט ליפשיץ לפיה לא עלה בידי ההגנה להטיל ספק ברמת הדיוק שבה נרשמו הדברים מפי הנאשם בת/18 ובהיותם משקפים את האמור על ידו).</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rtl/>
        </w:rPr>
        <w:t xml:space="preserve">יותר מכך, אף בעדותו בבית המשפט שבה  עשה הנאשם מאמצים  ניכרים "לגמד" את חלקו באירוע הכולל, ואף התכחש לחלקים נרחבים מהאמור בחקירותיו במשטרה ובפני חוקרי השב"כ, הנאשם הודה בכל זאת כי ראה את המתלונן מוכה פעמים רבות </w:t>
      </w:r>
      <w:r>
        <w:rPr>
          <w:rFonts w:ascii="David" w:hAnsi="David"/>
          <w:u w:val="single"/>
          <w:rtl/>
        </w:rPr>
        <w:t xml:space="preserve">לפני </w:t>
      </w:r>
      <w:r>
        <w:rPr>
          <w:rFonts w:ascii="David" w:hAnsi="David"/>
          <w:rtl/>
        </w:rPr>
        <w:t>שהוא היכה אותו, וכך בעמ' 104 ש' 28 ואילך לפר' הדיון מיום 6.10.22 נרשמו מפי הנאשם הדברים הבאים:</w:t>
      </w:r>
    </w:p>
    <w:p w:rsidR="00097EAE" w:rsidRDefault="00097EAE" w:rsidP="00097EAE">
      <w:pPr>
        <w:spacing w:line="360" w:lineRule="auto"/>
        <w:jc w:val="both"/>
        <w:rPr>
          <w:rFonts w:ascii="David" w:hAnsi="David"/>
          <w:rtl/>
        </w:rPr>
      </w:pPr>
    </w:p>
    <w:p w:rsidR="00097EAE" w:rsidRDefault="00097EAE" w:rsidP="00097EAE">
      <w:pPr>
        <w:pStyle w:val="ab"/>
        <w:shd w:val="clear" w:color="auto" w:fill="auto"/>
        <w:spacing w:line="360" w:lineRule="auto"/>
        <w:ind w:left="2076" w:hanging="2076"/>
        <w:jc w:val="both"/>
        <w:rPr>
          <w:rFonts w:ascii="Arial" w:hAnsi="Arial" w:cs="David"/>
          <w:sz w:val="24"/>
          <w:szCs w:val="24"/>
          <w:u w:val="none"/>
          <w:rtl/>
        </w:rPr>
      </w:pPr>
      <w:r>
        <w:rPr>
          <w:rFonts w:ascii="Arial" w:hAnsi="Arial" w:cs="David"/>
          <w:sz w:val="24"/>
          <w:szCs w:val="24"/>
          <w:u w:val="none"/>
          <w:rtl/>
        </w:rPr>
        <w:t>"הנאשם 1 , מר עבאס :</w:t>
      </w:r>
      <w:r>
        <w:rPr>
          <w:rFonts w:ascii="Arial" w:hAnsi="Arial" w:cs="David"/>
          <w:sz w:val="24"/>
          <w:szCs w:val="24"/>
          <w:u w:val="none"/>
          <w:rtl/>
        </w:rPr>
        <w:tab/>
        <w:t xml:space="preserve">אני לא יודע, היו. שהיה על הארץ, היו מסביבו צעירים, כן. </w:t>
      </w:r>
    </w:p>
    <w:p w:rsidR="00097EAE" w:rsidRDefault="00097EAE" w:rsidP="00097EAE">
      <w:pPr>
        <w:pStyle w:val="ab"/>
        <w:shd w:val="clear" w:color="auto" w:fill="auto"/>
        <w:spacing w:line="360" w:lineRule="auto"/>
        <w:ind w:left="2076" w:hanging="2076"/>
        <w:jc w:val="both"/>
        <w:rPr>
          <w:rFonts w:ascii="Arial" w:hAnsi="Arial" w:cs="David"/>
          <w:sz w:val="24"/>
          <w:szCs w:val="24"/>
          <w:u w:val="none"/>
          <w:rtl/>
        </w:rPr>
      </w:pPr>
      <w:r>
        <w:rPr>
          <w:rFonts w:ascii="Arial" w:hAnsi="Arial" w:cs="David"/>
          <w:sz w:val="24"/>
          <w:szCs w:val="24"/>
          <w:u w:val="none"/>
          <w:rtl/>
        </w:rPr>
        <w:t>ש :</w:t>
      </w:r>
      <w:r>
        <w:rPr>
          <w:rFonts w:ascii="Arial" w:hAnsi="Arial" w:cs="David"/>
          <w:sz w:val="24"/>
          <w:szCs w:val="24"/>
          <w:u w:val="none"/>
          <w:rtl/>
        </w:rPr>
        <w:tab/>
        <w:t>צעירים. כן. ומה הם עשו לו?</w:t>
      </w:r>
    </w:p>
    <w:p w:rsidR="00097EAE" w:rsidRDefault="00097EAE" w:rsidP="00097EAE">
      <w:pPr>
        <w:pStyle w:val="ab"/>
        <w:shd w:val="clear" w:color="auto" w:fill="auto"/>
        <w:spacing w:line="360" w:lineRule="auto"/>
        <w:ind w:left="2076" w:hanging="2076"/>
        <w:jc w:val="both"/>
        <w:rPr>
          <w:rFonts w:ascii="Arial" w:hAnsi="Arial" w:cs="David"/>
          <w:sz w:val="24"/>
          <w:szCs w:val="24"/>
          <w:u w:val="none"/>
          <w:rtl/>
        </w:rPr>
      </w:pPr>
      <w:r>
        <w:rPr>
          <w:rFonts w:ascii="Arial" w:hAnsi="Arial" w:cs="David"/>
          <w:sz w:val="24"/>
          <w:szCs w:val="24"/>
          <w:u w:val="none"/>
          <w:rtl/>
        </w:rPr>
        <w:lastRenderedPageBreak/>
        <w:t>ת :</w:t>
      </w:r>
      <w:r>
        <w:rPr>
          <w:rFonts w:ascii="Arial" w:hAnsi="Arial" w:cs="David"/>
          <w:sz w:val="24"/>
          <w:szCs w:val="24"/>
          <w:u w:val="none"/>
          <w:rtl/>
        </w:rPr>
        <w:tab/>
        <w:t xml:space="preserve">היו מרביצים לו. </w:t>
      </w:r>
    </w:p>
    <w:p w:rsidR="00097EAE" w:rsidRDefault="00097EAE" w:rsidP="00097EAE">
      <w:pPr>
        <w:pStyle w:val="ab"/>
        <w:shd w:val="clear" w:color="auto" w:fill="auto"/>
        <w:spacing w:line="360" w:lineRule="auto"/>
        <w:ind w:left="2076" w:hanging="2076"/>
        <w:jc w:val="both"/>
        <w:rPr>
          <w:rFonts w:ascii="Arial" w:hAnsi="Arial" w:cs="David"/>
          <w:sz w:val="24"/>
          <w:szCs w:val="24"/>
          <w:u w:val="none"/>
          <w:rtl/>
        </w:rPr>
      </w:pPr>
      <w:r>
        <w:rPr>
          <w:rFonts w:ascii="Arial" w:hAnsi="Arial" w:cs="David"/>
          <w:sz w:val="24"/>
          <w:szCs w:val="24"/>
          <w:u w:val="none"/>
          <w:rtl/>
        </w:rPr>
        <w:t>ש :</w:t>
      </w:r>
      <w:r>
        <w:rPr>
          <w:rFonts w:ascii="Arial" w:hAnsi="Arial" w:cs="David"/>
          <w:sz w:val="24"/>
          <w:szCs w:val="24"/>
          <w:u w:val="none"/>
          <w:rtl/>
        </w:rPr>
        <w:tab/>
        <w:t>איך הרביצו לו?</w:t>
      </w:r>
    </w:p>
    <w:p w:rsidR="00097EAE" w:rsidRDefault="00097EAE" w:rsidP="00097EAE">
      <w:pPr>
        <w:pStyle w:val="ab"/>
        <w:shd w:val="clear" w:color="auto" w:fill="auto"/>
        <w:spacing w:line="360" w:lineRule="auto"/>
        <w:ind w:left="2076" w:hanging="2076"/>
        <w:jc w:val="both"/>
        <w:rPr>
          <w:rFonts w:ascii="Arial" w:hAnsi="Arial" w:cs="David"/>
          <w:sz w:val="24"/>
          <w:szCs w:val="24"/>
          <w:u w:val="none"/>
          <w:rtl/>
        </w:rPr>
      </w:pPr>
      <w:r>
        <w:rPr>
          <w:rFonts w:ascii="Arial" w:hAnsi="Arial" w:cs="David"/>
          <w:sz w:val="24"/>
          <w:szCs w:val="24"/>
          <w:u w:val="none"/>
          <w:rtl/>
        </w:rPr>
        <w:t>ת :</w:t>
      </w:r>
      <w:r>
        <w:rPr>
          <w:rFonts w:ascii="Arial" w:hAnsi="Arial" w:cs="David"/>
          <w:sz w:val="24"/>
          <w:szCs w:val="24"/>
          <w:u w:val="none"/>
          <w:rtl/>
        </w:rPr>
        <w:tab/>
        <w:t xml:space="preserve">עם אבנים ומקלות. </w:t>
      </w:r>
    </w:p>
    <w:p w:rsidR="00097EAE" w:rsidRDefault="00097EAE" w:rsidP="00097EAE">
      <w:pPr>
        <w:pStyle w:val="ab"/>
        <w:shd w:val="clear" w:color="auto" w:fill="auto"/>
        <w:spacing w:line="360" w:lineRule="auto"/>
        <w:ind w:left="2076" w:hanging="2076"/>
        <w:jc w:val="both"/>
        <w:rPr>
          <w:rFonts w:ascii="Arial" w:hAnsi="Arial" w:cs="David"/>
          <w:sz w:val="24"/>
          <w:szCs w:val="24"/>
          <w:u w:val="none"/>
          <w:rtl/>
        </w:rPr>
      </w:pPr>
      <w:r>
        <w:rPr>
          <w:rFonts w:ascii="Arial" w:hAnsi="Arial" w:cs="David"/>
          <w:sz w:val="24"/>
          <w:szCs w:val="24"/>
          <w:u w:val="none"/>
          <w:rtl/>
        </w:rPr>
        <w:t>ש :</w:t>
      </w:r>
      <w:r>
        <w:rPr>
          <w:rFonts w:ascii="Arial" w:hAnsi="Arial" w:cs="David"/>
          <w:sz w:val="24"/>
          <w:szCs w:val="24"/>
          <w:u w:val="none"/>
          <w:rtl/>
        </w:rPr>
        <w:tab/>
        <w:t xml:space="preserve">וגם בעיטות. </w:t>
      </w:r>
    </w:p>
    <w:p w:rsidR="00097EAE" w:rsidRDefault="00097EAE" w:rsidP="00097EAE">
      <w:pPr>
        <w:pStyle w:val="ab"/>
        <w:shd w:val="clear" w:color="auto" w:fill="auto"/>
        <w:spacing w:line="360" w:lineRule="auto"/>
        <w:ind w:left="2076" w:hanging="2076"/>
        <w:jc w:val="both"/>
        <w:rPr>
          <w:rFonts w:ascii="Arial" w:hAnsi="Arial" w:cs="David"/>
          <w:sz w:val="24"/>
          <w:szCs w:val="24"/>
          <w:u w:val="none"/>
          <w:rtl/>
        </w:rPr>
      </w:pPr>
      <w:r>
        <w:rPr>
          <w:rFonts w:ascii="Arial" w:hAnsi="Arial" w:cs="David"/>
          <w:sz w:val="24"/>
          <w:szCs w:val="24"/>
          <w:u w:val="none"/>
          <w:rtl/>
        </w:rPr>
        <w:t>ת :</w:t>
      </w:r>
      <w:r>
        <w:rPr>
          <w:rFonts w:ascii="Arial" w:hAnsi="Arial" w:cs="David"/>
          <w:sz w:val="24"/>
          <w:szCs w:val="24"/>
          <w:u w:val="none"/>
          <w:rtl/>
        </w:rPr>
        <w:tab/>
        <w:t xml:space="preserve">כן. </w:t>
      </w:r>
    </w:p>
    <w:p w:rsidR="00097EAE" w:rsidRDefault="00097EAE" w:rsidP="00097EAE">
      <w:pPr>
        <w:pStyle w:val="ab"/>
        <w:shd w:val="clear" w:color="auto" w:fill="auto"/>
        <w:spacing w:line="360" w:lineRule="auto"/>
        <w:ind w:left="2076" w:hanging="2076"/>
        <w:jc w:val="both"/>
        <w:rPr>
          <w:rFonts w:ascii="Arial" w:hAnsi="Arial" w:cs="David"/>
          <w:sz w:val="24"/>
          <w:szCs w:val="24"/>
          <w:u w:val="none"/>
          <w:rtl/>
        </w:rPr>
      </w:pPr>
      <w:r>
        <w:rPr>
          <w:rFonts w:ascii="Arial" w:hAnsi="Arial" w:cs="David"/>
          <w:sz w:val="24"/>
          <w:szCs w:val="24"/>
          <w:u w:val="none"/>
          <w:rtl/>
        </w:rPr>
        <w:t>ש :</w:t>
      </w:r>
      <w:r>
        <w:rPr>
          <w:rFonts w:ascii="Arial" w:hAnsi="Arial" w:cs="David"/>
          <w:sz w:val="24"/>
          <w:szCs w:val="24"/>
          <w:u w:val="none"/>
          <w:rtl/>
        </w:rPr>
        <w:tab/>
        <w:t xml:space="preserve">כן. </w:t>
      </w:r>
    </w:p>
    <w:p w:rsidR="00097EAE" w:rsidRDefault="00097EAE" w:rsidP="00097EAE">
      <w:pPr>
        <w:pStyle w:val="ab"/>
        <w:shd w:val="clear" w:color="auto" w:fill="auto"/>
        <w:spacing w:line="360" w:lineRule="auto"/>
        <w:ind w:left="2076" w:hanging="2076"/>
        <w:jc w:val="both"/>
        <w:rPr>
          <w:rFonts w:ascii="Arial" w:hAnsi="Arial" w:cs="David"/>
          <w:sz w:val="24"/>
          <w:szCs w:val="24"/>
          <w:u w:val="none"/>
          <w:rtl/>
        </w:rPr>
      </w:pPr>
      <w:r>
        <w:rPr>
          <w:rFonts w:ascii="Arial" w:hAnsi="Arial" w:cs="David"/>
          <w:sz w:val="24"/>
          <w:szCs w:val="24"/>
          <w:u w:val="none"/>
          <w:rtl/>
        </w:rPr>
        <w:t>ת :</w:t>
      </w:r>
      <w:r>
        <w:rPr>
          <w:rFonts w:ascii="Arial" w:hAnsi="Arial" w:cs="David"/>
          <w:sz w:val="24"/>
          <w:szCs w:val="24"/>
          <w:u w:val="none"/>
          <w:rtl/>
        </w:rPr>
        <w:tab/>
        <w:t xml:space="preserve">היו נותנים לו מכות, כן....." </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rtl/>
        </w:rPr>
        <w:t xml:space="preserve">בנסיבות אלו מעשי הנאשם והיסוד הנפשי הנלווה להם צריכים להיבחן על רקע היותו של הנאשם חלק מההמון שתקף את המתלונן, </w:t>
      </w:r>
      <w:r>
        <w:rPr>
          <w:rFonts w:ascii="David" w:hAnsi="David"/>
          <w:u w:val="single"/>
          <w:rtl/>
        </w:rPr>
        <w:t>ועל רקע מודעותו להיותו חלק מאותו המון</w:t>
      </w:r>
      <w:r>
        <w:rPr>
          <w:rFonts w:ascii="David" w:hAnsi="David"/>
          <w:rtl/>
        </w:rPr>
        <w:t xml:space="preserve">. </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rtl/>
        </w:rPr>
        <w:t xml:space="preserve">בהתאם, בבואנו לבחון את הלך נפשו של הנאשם בעת שהיכה את המתלונן בראשו, אין לבחון את  כוונותיו אך ורק ביחס למכה הבודדת שהוא בעצמו היכה, אלא יש לבחון את כוונתו כמי שהיה מודע לכך שהוא מכה בראשו אדם שכבר הוכה קשות באבנים, מקלות בעיטות ועוד.   </w:t>
      </w:r>
    </w:p>
    <w:p w:rsidR="00097EAE" w:rsidRDefault="00097EAE" w:rsidP="00097EAE">
      <w:pPr>
        <w:spacing w:line="360" w:lineRule="auto"/>
        <w:jc w:val="both"/>
        <w:rPr>
          <w:rFonts w:ascii="David" w:hAnsi="David"/>
          <w:rtl/>
        </w:rPr>
      </w:pPr>
    </w:p>
    <w:p w:rsidR="00097EAE" w:rsidRDefault="00097EAE" w:rsidP="00097EAE">
      <w:pPr>
        <w:spacing w:line="360" w:lineRule="auto"/>
        <w:jc w:val="both"/>
        <w:rPr>
          <w:rFonts w:ascii="David" w:hAnsi="David"/>
          <w:rtl/>
        </w:rPr>
      </w:pPr>
      <w:r>
        <w:rPr>
          <w:rFonts w:ascii="David" w:hAnsi="David"/>
          <w:rtl/>
        </w:rPr>
        <w:t xml:space="preserve">אפנה בענין זה לע"פ 10423/07, 156/08 </w:t>
      </w:r>
      <w:r>
        <w:rPr>
          <w:rFonts w:ascii="Miriam" w:hAnsi="Miriam" w:cs="Miriam"/>
          <w:rtl/>
        </w:rPr>
        <w:t>מדינת ישראל נ' שמשון סטרין</w:t>
      </w:r>
      <w:r>
        <w:rPr>
          <w:rFonts w:ascii="David" w:hAnsi="David"/>
          <w:rtl/>
        </w:rPr>
        <w:t xml:space="preserve">, פסקה 10 (11.6.2008) , שם נדחו ערעורים הדדיים על הרשעתו של נאשם בחבלה חמורה, אשר נטל חלק באירוע רב משתתפים במסגרתו אף הוא ביצע מעשה חבלה,  ובמסגרת הדיון ביסוד הנפשי נקבע כי "  </w:t>
      </w:r>
      <w:r>
        <w:rPr>
          <w:rFonts w:ascii="David" w:hAnsi="David"/>
          <w:b/>
          <w:bCs/>
          <w:rtl/>
        </w:rPr>
        <w:t xml:space="preserve">ומעבר לכל אלה: הסרטים ועדויות עדי הראיה מעלים תמונה של חבורה הפועלת יחד, כשכל אחד "תורם" את חלקו. לא ניתן לבודד את פעולותיו של המערער כאילו הוא היה לבדו בזירה, ולייחס לו רק את הפעולות שנעשו פיזית על ידו...." </w:t>
      </w:r>
      <w:r>
        <w:rPr>
          <w:rFonts w:ascii="David" w:hAnsi="David"/>
          <w:rtl/>
        </w:rPr>
        <w:t>(שם ,פסקה 10). כך גם בענייננו, בבואנו לבחון את היסוד הנפשי של הנאשם בעת שהיכה את המתלונן, לא ניתן לבודד את פעולותיו אלא יש לבחנם כחלק מכלל המעשים שבוצעו כנגד המתלונן.</w:t>
      </w:r>
    </w:p>
    <w:p w:rsidR="00097EAE" w:rsidRDefault="00097EAE" w:rsidP="00097EAE">
      <w:pPr>
        <w:spacing w:line="360" w:lineRule="auto"/>
        <w:jc w:val="both"/>
        <w:rPr>
          <w:rFonts w:ascii="David" w:hAnsi="David"/>
          <w:rtl/>
        </w:rPr>
      </w:pPr>
    </w:p>
    <w:p w:rsidR="00097EAE" w:rsidRDefault="00097EAE" w:rsidP="00097EAE">
      <w:pPr>
        <w:pStyle w:val="Ruller40"/>
        <w:rPr>
          <w:rFonts w:ascii="David" w:hAnsi="David" w:cs="David"/>
          <w:spacing w:val="0"/>
          <w:sz w:val="24"/>
          <w:szCs w:val="24"/>
          <w:rtl/>
        </w:rPr>
      </w:pPr>
      <w:r>
        <w:rPr>
          <w:rFonts w:ascii="David" w:hAnsi="David" w:cs="David"/>
          <w:spacing w:val="0"/>
          <w:sz w:val="24"/>
          <w:szCs w:val="24"/>
          <w:rtl/>
        </w:rPr>
        <w:t>למצב דברים זה יפים בעיני גם הדברים שנאמרו בע"פ 193/14</w:t>
      </w:r>
      <w:r>
        <w:rPr>
          <w:rFonts w:ascii="David" w:hAnsi="David" w:cs="David"/>
          <w:b/>
          <w:bCs/>
          <w:spacing w:val="0"/>
          <w:sz w:val="24"/>
          <w:szCs w:val="24"/>
          <w:rtl/>
        </w:rPr>
        <w:t xml:space="preserve"> </w:t>
      </w:r>
      <w:r>
        <w:rPr>
          <w:rFonts w:ascii="Miriam" w:hAnsi="Miriam" w:cs="Miriam"/>
          <w:spacing w:val="0"/>
          <w:sz w:val="24"/>
          <w:szCs w:val="24"/>
          <w:rtl/>
        </w:rPr>
        <w:t>נסראללה נ' מדינת ישראל</w:t>
      </w:r>
      <w:r>
        <w:rPr>
          <w:rFonts w:ascii="David" w:hAnsi="David" w:cs="David"/>
          <w:b/>
          <w:bCs/>
          <w:spacing w:val="0"/>
          <w:sz w:val="24"/>
          <w:szCs w:val="24"/>
          <w:rtl/>
        </w:rPr>
        <w:t xml:space="preserve">, </w:t>
      </w:r>
      <w:r>
        <w:rPr>
          <w:rFonts w:ascii="David" w:hAnsi="David" w:cs="David"/>
          <w:spacing w:val="0"/>
          <w:sz w:val="24"/>
          <w:szCs w:val="24"/>
          <w:rtl/>
        </w:rPr>
        <w:t>פסקה 36 (26.10.14) ולפיהם "</w:t>
      </w:r>
      <w:r>
        <w:rPr>
          <w:rFonts w:ascii="David" w:hAnsi="David" w:cs="David"/>
          <w:b/>
          <w:bCs/>
          <w:spacing w:val="0"/>
          <w:sz w:val="24"/>
          <w:szCs w:val="24"/>
          <w:rtl/>
        </w:rPr>
        <w:t xml:space="preserve">"כאשר חבורה פונה בעצה אחת, אם כי ספונטנית, כדי לעשות שפטים באחר, יהיה כל אחד מן המשתתפים אחראי לכל תוצאה אפשרית" מפעולות שהן "חלק לוואי מהותי ממעשה אלימות....". </w:t>
      </w:r>
      <w:r>
        <w:rPr>
          <w:rFonts w:ascii="David" w:hAnsi="David" w:cs="David"/>
          <w:spacing w:val="0"/>
          <w:sz w:val="24"/>
          <w:szCs w:val="24"/>
          <w:rtl/>
        </w:rPr>
        <w:t xml:space="preserve">בהתאם כאשר נחיל בעניינו של הנאשם את "חזקת הכוונה", ונראה אותו כמי שהתכוון ל"תוצאה הטבעית" הנובעת </w:t>
      </w:r>
      <w:r>
        <w:rPr>
          <w:rFonts w:ascii="David" w:hAnsi="David" w:cs="David"/>
          <w:spacing w:val="0"/>
          <w:sz w:val="24"/>
          <w:szCs w:val="24"/>
          <w:u w:val="single"/>
          <w:rtl/>
        </w:rPr>
        <w:t>ממעשיו</w:t>
      </w:r>
      <w:r>
        <w:rPr>
          <w:rFonts w:ascii="David" w:hAnsi="David" w:cs="David"/>
          <w:spacing w:val="0"/>
          <w:sz w:val="24"/>
          <w:szCs w:val="24"/>
          <w:rtl/>
        </w:rPr>
        <w:t xml:space="preserve">, אזי "מעשי הנאשם" שביחס אליהם תיבחן כוונתו, לא יהיו רק אותה מכה אחת שהנאשם היכה את המתלונן בראשו, אלא כלל המכות שהנאשם היה מודע לכך שהמתלונן ספג מההמון אליו הצטרף הנאשם באופן פעיל. לעמדתי, התוצאה "הטבעית" של לינץ' המוני כמו שבמקרה שלפנינו, במסגרתו היכו מספר רב של אנשים את המתלונן בין היתר בראשו, באבנים מקלות וזכוכיות, בבעיטות ובאגרופים, וכשהנאשם רואה במו עיניו כי המתלונן אינו מגיב </w:t>
      </w:r>
      <w:r>
        <w:rPr>
          <w:rFonts w:ascii="David" w:hAnsi="David" w:cs="David"/>
          <w:spacing w:val="0"/>
          <w:sz w:val="24"/>
          <w:szCs w:val="24"/>
          <w:rtl/>
        </w:rPr>
        <w:lastRenderedPageBreak/>
        <w:t>וראשו מלא דם, הייתה עלולה חס וחלילה להיות קטלנית לולא התערבותו  הנחרצת והברוכה של השיח עבאס זכור ומי שסייע לו מר פאדי קאסם. בהתאם ועל פי "חזקת הכוונה" יש לראות בנאשם כמי שצפה תוצאה כזו וכמי שרצה בהתממשותה.</w:t>
      </w:r>
    </w:p>
    <w:tbl>
      <w:tblPr>
        <w:tblStyle w:val="a5"/>
        <w:bidiVisual/>
        <w:tblW w:w="2576" w:type="dxa"/>
        <w:tblInd w:w="5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76"/>
      </w:tblGrid>
      <w:tr w:rsidR="00900462" w:rsidTr="00900462">
        <w:tc>
          <w:tcPr>
            <w:tcW w:w="2576" w:type="dxa"/>
            <w:tcBorders>
              <w:top w:val="nil"/>
              <w:left w:val="nil"/>
              <w:bottom w:val="single" w:sz="4" w:space="0" w:color="auto"/>
              <w:right w:val="nil"/>
            </w:tcBorders>
            <w:vAlign w:val="bottom"/>
            <w:hideMark/>
          </w:tcPr>
          <w:p w:rsidR="00900462" w:rsidRDefault="00900462">
            <w:pPr>
              <w:jc w:val="center"/>
              <w:rPr>
                <w:rFonts w:ascii="Courier New" w:hAnsi="Courier New" w:cstheme="minorBidi"/>
                <w:b/>
                <w:bCs/>
                <w:sz w:val="22"/>
                <w:szCs w:val="22"/>
              </w:rPr>
            </w:pPr>
            <w:r>
              <w:rPr>
                <w:noProof/>
              </w:rPr>
              <w:drawing>
                <wp:inline distT="0" distB="0" distL="0" distR="0">
                  <wp:extent cx="1168400" cy="853440"/>
                  <wp:effectExtent l="0" t="0" r="0" b="3810"/>
                  <wp:docPr id="5" name="תמונה 5" descr="05779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descr="05779385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68400" cy="853440"/>
                          </a:xfrm>
                          <a:prstGeom prst="rect">
                            <a:avLst/>
                          </a:prstGeom>
                          <a:noFill/>
                          <a:ln>
                            <a:noFill/>
                          </a:ln>
                        </pic:spPr>
                      </pic:pic>
                    </a:graphicData>
                  </a:graphic>
                </wp:inline>
              </w:drawing>
            </w:r>
          </w:p>
        </w:tc>
      </w:tr>
      <w:tr w:rsidR="00900462" w:rsidTr="00900462">
        <w:tc>
          <w:tcPr>
            <w:tcW w:w="2576" w:type="dxa"/>
            <w:tcBorders>
              <w:top w:val="single" w:sz="4" w:space="0" w:color="auto"/>
              <w:left w:val="nil"/>
              <w:bottom w:val="nil"/>
              <w:right w:val="nil"/>
            </w:tcBorders>
          </w:tcPr>
          <w:p w:rsidR="00900462" w:rsidRDefault="00900462">
            <w:pPr>
              <w:spacing w:line="360" w:lineRule="auto"/>
              <w:rPr>
                <w:rFonts w:ascii="Times New Roman" w:hAnsi="Times New Roman"/>
                <w:b/>
                <w:bCs/>
              </w:rPr>
            </w:pPr>
            <w:r>
              <w:rPr>
                <w:b/>
                <w:bCs/>
                <w:rtl/>
              </w:rPr>
              <w:t xml:space="preserve">         </w:t>
            </w:r>
            <w:r>
              <w:rPr>
                <w:rFonts w:ascii="Courier New" w:hAnsi="Courier New"/>
                <w:b/>
                <w:bCs/>
                <w:rtl/>
              </w:rPr>
              <w:t>ש. מנדלבום, שופט</w:t>
            </w:r>
          </w:p>
          <w:p w:rsidR="00900462" w:rsidRDefault="00900462">
            <w:pPr>
              <w:spacing w:line="360" w:lineRule="auto"/>
              <w:jc w:val="center"/>
              <w:rPr>
                <w:rFonts w:asciiTheme="minorHAnsi" w:hAnsiTheme="minorHAnsi"/>
                <w:b/>
                <w:bCs/>
                <w:sz w:val="22"/>
                <w:szCs w:val="22"/>
              </w:rPr>
            </w:pPr>
          </w:p>
          <w:p w:rsidR="00900462" w:rsidRDefault="00900462">
            <w:pPr>
              <w:spacing w:line="360" w:lineRule="auto"/>
              <w:jc w:val="center"/>
              <w:rPr>
                <w:rFonts w:asciiTheme="minorHAnsi" w:hAnsiTheme="minorHAnsi"/>
                <w:b/>
                <w:bCs/>
                <w:sz w:val="22"/>
                <w:szCs w:val="22"/>
              </w:rPr>
            </w:pPr>
          </w:p>
        </w:tc>
      </w:tr>
    </w:tbl>
    <w:p w:rsidR="00870F64" w:rsidRPr="00900462" w:rsidRDefault="00900462">
      <w:pPr>
        <w:rPr>
          <w:rFonts w:ascii="David" w:hAnsi="David"/>
          <w:b/>
          <w:bCs/>
          <w:sz w:val="26"/>
          <w:szCs w:val="26"/>
          <w:rtl/>
        </w:rPr>
      </w:pPr>
      <w:r w:rsidRPr="00900462">
        <w:rPr>
          <w:rFonts w:ascii="David" w:hAnsi="David" w:hint="cs"/>
          <w:b/>
          <w:bCs/>
          <w:sz w:val="26"/>
          <w:szCs w:val="26"/>
          <w:rtl/>
        </w:rPr>
        <w:t>סוף דבר, הוחלט פה אחד להרשיע את הנאשם בעבירות הבאות:</w:t>
      </w:r>
    </w:p>
    <w:p w:rsidR="00900462" w:rsidRDefault="00900462">
      <w:pPr>
        <w:rPr>
          <w:rFonts w:ascii="David" w:hAnsi="David"/>
          <w:sz w:val="26"/>
          <w:szCs w:val="26"/>
          <w:rtl/>
        </w:rPr>
      </w:pPr>
    </w:p>
    <w:p w:rsidR="00900462" w:rsidRDefault="00900462" w:rsidP="00900462">
      <w:pPr>
        <w:spacing w:line="360" w:lineRule="auto"/>
        <w:jc w:val="both"/>
        <w:rPr>
          <w:rFonts w:ascii="David" w:hAnsi="David"/>
          <w:rtl/>
        </w:rPr>
      </w:pPr>
    </w:p>
    <w:p w:rsidR="00900462" w:rsidRDefault="00900462" w:rsidP="00900462">
      <w:pPr>
        <w:pStyle w:val="aa"/>
        <w:spacing w:after="0" w:line="360" w:lineRule="auto"/>
        <w:ind w:hanging="720"/>
        <w:jc w:val="both"/>
        <w:rPr>
          <w:rFonts w:ascii="David" w:hAnsi="David" w:cs="David"/>
          <w:sz w:val="24"/>
          <w:szCs w:val="24"/>
          <w:rtl/>
        </w:rPr>
      </w:pPr>
      <w:r>
        <w:rPr>
          <w:rFonts w:ascii="David" w:hAnsi="David" w:cs="David"/>
          <w:b/>
          <w:bCs/>
          <w:sz w:val="24"/>
          <w:szCs w:val="24"/>
          <w:rtl/>
        </w:rPr>
        <w:t>(-)</w:t>
      </w:r>
      <w:r>
        <w:rPr>
          <w:rFonts w:ascii="David" w:hAnsi="David" w:cs="David"/>
          <w:b/>
          <w:bCs/>
          <w:sz w:val="24"/>
          <w:szCs w:val="24"/>
          <w:rtl/>
        </w:rPr>
        <w:tab/>
        <w:t>מעשה טרור של ניסיון רצח</w:t>
      </w:r>
      <w:r>
        <w:rPr>
          <w:rFonts w:ascii="David" w:hAnsi="David" w:cs="David"/>
          <w:sz w:val="24"/>
          <w:szCs w:val="24"/>
          <w:rtl/>
        </w:rPr>
        <w:t xml:space="preserve">, לפי סעיף 305(1) ו (2) לחוק העונשין, התשל"ז – 1977 (להלן: </w:t>
      </w:r>
      <w:r>
        <w:rPr>
          <w:rFonts w:ascii="David" w:hAnsi="David" w:cs="David"/>
          <w:b/>
          <w:bCs/>
          <w:sz w:val="24"/>
          <w:szCs w:val="24"/>
          <w:rtl/>
        </w:rPr>
        <w:t>החוק</w:t>
      </w:r>
      <w:r>
        <w:rPr>
          <w:rFonts w:ascii="David" w:hAnsi="David" w:cs="David"/>
          <w:sz w:val="24"/>
          <w:szCs w:val="24"/>
          <w:rtl/>
        </w:rPr>
        <w:t xml:space="preserve">) + סעיף 29 לחוק + סעיף 37 לחוק המאבק בטרור, התשע"ו – 2016 (להלן: </w:t>
      </w:r>
      <w:r>
        <w:rPr>
          <w:rFonts w:ascii="David" w:hAnsi="David" w:cs="David"/>
          <w:b/>
          <w:bCs/>
          <w:sz w:val="24"/>
          <w:szCs w:val="24"/>
          <w:rtl/>
        </w:rPr>
        <w:t>חוק המאבק בטרור</w:t>
      </w:r>
      <w:r>
        <w:rPr>
          <w:rFonts w:ascii="David" w:hAnsi="David" w:cs="David"/>
          <w:sz w:val="24"/>
          <w:szCs w:val="24"/>
          <w:rtl/>
        </w:rPr>
        <w:t xml:space="preserve">).  </w:t>
      </w:r>
    </w:p>
    <w:p w:rsidR="00900462" w:rsidRDefault="00900462" w:rsidP="00900462">
      <w:pPr>
        <w:pStyle w:val="aa"/>
        <w:spacing w:after="0" w:line="360" w:lineRule="auto"/>
        <w:ind w:hanging="720"/>
        <w:jc w:val="both"/>
        <w:rPr>
          <w:rFonts w:ascii="David" w:hAnsi="David" w:cs="David"/>
          <w:sz w:val="24"/>
          <w:szCs w:val="24"/>
          <w:rtl/>
        </w:rPr>
      </w:pPr>
      <w:r>
        <w:rPr>
          <w:rFonts w:ascii="David" w:hAnsi="David" w:cs="David"/>
          <w:b/>
          <w:bCs/>
          <w:sz w:val="24"/>
          <w:szCs w:val="24"/>
          <w:rtl/>
        </w:rPr>
        <w:t>(-)</w:t>
      </w:r>
      <w:r>
        <w:rPr>
          <w:rFonts w:ascii="David" w:hAnsi="David" w:cs="David"/>
          <w:b/>
          <w:bCs/>
          <w:sz w:val="24"/>
          <w:szCs w:val="24"/>
          <w:rtl/>
        </w:rPr>
        <w:tab/>
        <w:t>מעשה טרור של יידוי אבן לעבר כלי תחבורה</w:t>
      </w:r>
      <w:r>
        <w:rPr>
          <w:rFonts w:ascii="David" w:hAnsi="David" w:cs="David"/>
          <w:sz w:val="24"/>
          <w:szCs w:val="24"/>
          <w:rtl/>
        </w:rPr>
        <w:t>, לפי סעיף 332א(ב) לחוק + סעיף 29 לחוק + סעיף 37 לחוק המאבק בטרור.</w:t>
      </w:r>
    </w:p>
    <w:p w:rsidR="00900462" w:rsidRDefault="00900462" w:rsidP="00900462">
      <w:pPr>
        <w:pStyle w:val="aa"/>
        <w:spacing w:after="0" w:line="360" w:lineRule="auto"/>
        <w:ind w:left="0"/>
        <w:jc w:val="both"/>
        <w:rPr>
          <w:rFonts w:ascii="David" w:hAnsi="David" w:cs="David"/>
          <w:sz w:val="24"/>
          <w:szCs w:val="24"/>
        </w:rPr>
      </w:pPr>
      <w:r>
        <w:rPr>
          <w:rFonts w:ascii="David" w:hAnsi="David" w:cs="David"/>
          <w:b/>
          <w:bCs/>
          <w:sz w:val="24"/>
          <w:szCs w:val="24"/>
          <w:rtl/>
        </w:rPr>
        <w:t>(-)</w:t>
      </w:r>
      <w:r>
        <w:rPr>
          <w:rFonts w:ascii="David" w:hAnsi="David" w:cs="David"/>
          <w:b/>
          <w:bCs/>
          <w:sz w:val="24"/>
          <w:szCs w:val="24"/>
          <w:rtl/>
        </w:rPr>
        <w:tab/>
        <w:t xml:space="preserve">חבלה במזיד ברכב ממניע גזעני, </w:t>
      </w:r>
      <w:r>
        <w:rPr>
          <w:rFonts w:ascii="David" w:hAnsi="David" w:cs="David"/>
          <w:sz w:val="24"/>
          <w:szCs w:val="24"/>
          <w:rtl/>
        </w:rPr>
        <w:t>לפי סעיף 413ה' בצירוף סעיף 144ו' + סעיף 29 לחוק.</w:t>
      </w:r>
    </w:p>
    <w:p w:rsidR="00900462" w:rsidRDefault="00900462" w:rsidP="00900462">
      <w:pPr>
        <w:pStyle w:val="aa"/>
        <w:spacing w:after="0" w:line="360" w:lineRule="auto"/>
        <w:ind w:left="0"/>
        <w:jc w:val="both"/>
        <w:rPr>
          <w:rFonts w:ascii="David" w:hAnsi="David" w:cs="David"/>
          <w:sz w:val="24"/>
          <w:szCs w:val="24"/>
        </w:rPr>
      </w:pPr>
      <w:r>
        <w:rPr>
          <w:rFonts w:ascii="David" w:hAnsi="David" w:cs="David"/>
          <w:b/>
          <w:bCs/>
          <w:sz w:val="24"/>
          <w:szCs w:val="24"/>
          <w:rtl/>
        </w:rPr>
        <w:t>(-)</w:t>
      </w:r>
      <w:r>
        <w:rPr>
          <w:rFonts w:ascii="David" w:hAnsi="David" w:cs="David"/>
          <w:b/>
          <w:bCs/>
          <w:sz w:val="24"/>
          <w:szCs w:val="24"/>
          <w:rtl/>
        </w:rPr>
        <w:tab/>
        <w:t xml:space="preserve">התפרעות, </w:t>
      </w:r>
      <w:r>
        <w:rPr>
          <w:rFonts w:ascii="David" w:hAnsi="David" w:cs="David"/>
          <w:sz w:val="24"/>
          <w:szCs w:val="24"/>
          <w:rtl/>
        </w:rPr>
        <w:t>לפי סעיף 152 + 29 לחוק.</w:t>
      </w:r>
      <w:r>
        <w:rPr>
          <w:rFonts w:ascii="David" w:hAnsi="David" w:cs="David"/>
          <w:b/>
          <w:bCs/>
          <w:sz w:val="24"/>
          <w:szCs w:val="24"/>
          <w:rtl/>
        </w:rPr>
        <w:t xml:space="preserve"> </w:t>
      </w:r>
    </w:p>
    <w:p w:rsidR="00900462" w:rsidRPr="00587C90" w:rsidRDefault="00900462">
      <w:pPr>
        <w:rPr>
          <w:rFonts w:ascii="David" w:hAnsi="David"/>
          <w:sz w:val="26"/>
          <w:szCs w:val="26"/>
          <w:rtl/>
        </w:rPr>
      </w:pPr>
    </w:p>
    <w:p w:rsidR="00870F64" w:rsidRPr="00587C90" w:rsidRDefault="00870F64">
      <w:pPr>
        <w:rPr>
          <w:rFonts w:ascii="David" w:hAnsi="David"/>
          <w:sz w:val="26"/>
          <w:szCs w:val="26"/>
          <w:rtl/>
        </w:rPr>
      </w:pPr>
    </w:p>
    <w:p w:rsidR="00870F64" w:rsidRPr="00B949CB" w:rsidRDefault="0051562C" w:rsidP="009866F0">
      <w:pPr>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כ"ד תמוז תשפ"ג</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rtl/>
            </w:rPr>
            <w:t>13 יולי 2023</w:t>
          </w:r>
        </w:sdtContent>
      </w:sdt>
      <w:r w:rsidRPr="00B949CB">
        <w:rPr>
          <w:rFonts w:ascii="Arial" w:hAnsi="Arial"/>
          <w:rtl/>
        </w:rPr>
        <w:t>, ב</w:t>
      </w:r>
      <w:r w:rsidR="00900462">
        <w:rPr>
          <w:rFonts w:ascii="Arial" w:hAnsi="Arial" w:hint="cs"/>
          <w:rtl/>
        </w:rPr>
        <w:t xml:space="preserve">נוכחות </w:t>
      </w:r>
      <w:r w:rsidRPr="00B949CB">
        <w:rPr>
          <w:rFonts w:ascii="Arial" w:hAnsi="Arial"/>
          <w:rtl/>
        </w:rPr>
        <w:t>הצדדים</w:t>
      </w:r>
      <w:r w:rsidR="009866F0">
        <w:rPr>
          <w:rFonts w:ascii="Arial" w:hAnsi="Arial" w:hint="cs"/>
          <w:rtl/>
        </w:rPr>
        <w:t>.</w:t>
      </w:r>
    </w:p>
    <w:p w:rsidR="00870F64" w:rsidRPr="00B949CB" w:rsidRDefault="00870F64">
      <w:pPr>
        <w:rPr>
          <w:rFonts w:ascii="Arial" w:hAnsi="Arial"/>
          <w:rtl/>
        </w:rPr>
      </w:pPr>
    </w:p>
    <w:p w:rsidR="00900462" w:rsidRDefault="00AE60C8" w:rsidP="00900462">
      <w:pPr>
        <w:tabs>
          <w:tab w:val="left" w:pos="1625"/>
        </w:tabs>
        <w:jc w:val="center"/>
        <w:rPr>
          <w:rFonts w:ascii="Arial" w:hAnsi="Arial"/>
        </w:rPr>
      </w:pPr>
      <w:r>
        <w:rPr>
          <w:rFonts w:hint="cs"/>
          <w:rtl/>
        </w:rPr>
        <w:t xml:space="preserve">     </w:t>
      </w:r>
    </w:p>
    <w:tbl>
      <w:tblPr>
        <w:tblStyle w:val="a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24"/>
        <w:gridCol w:w="359"/>
        <w:gridCol w:w="2405"/>
        <w:gridCol w:w="345"/>
        <w:gridCol w:w="2572"/>
      </w:tblGrid>
      <w:tr w:rsidR="00900462">
        <w:tc>
          <w:tcPr>
            <w:tcW w:w="2834" w:type="dxa"/>
            <w:tcBorders>
              <w:top w:val="nil"/>
              <w:left w:val="nil"/>
              <w:bottom w:val="single" w:sz="4" w:space="0" w:color="auto"/>
              <w:right w:val="nil"/>
            </w:tcBorders>
            <w:vAlign w:val="bottom"/>
          </w:tcPr>
          <w:p w:rsidR="00900462" w:rsidRDefault="00900462">
            <w:pPr>
              <w:jc w:val="center"/>
              <w:rPr>
                <w:rFonts w:ascii="Courier New" w:hAnsi="Courier New"/>
                <w:b/>
                <w:bCs/>
                <w:rtl/>
              </w:rPr>
            </w:pPr>
            <w:r>
              <w:rPr>
                <w:noProof/>
              </w:rPr>
              <w:drawing>
                <wp:inline distT="0" distB="0" distL="0" distR="0" wp14:anchorId="2FA219AF" wp14:editId="78C011DB">
                  <wp:extent cx="923290" cy="647065"/>
                  <wp:effectExtent l="0" t="0" r="0" b="635"/>
                  <wp:docPr id="6" name="תמונה 6" descr="C:\Users\Lenab\AppData\Local\Microsoft\Windows\Temporary Internet Files\Content.Word\022768311.tif"/>
                  <wp:cNvGraphicFramePr/>
                  <a:graphic xmlns:a="http://schemas.openxmlformats.org/drawingml/2006/main">
                    <a:graphicData uri="http://schemas.openxmlformats.org/drawingml/2006/picture">
                      <pic:pic xmlns:pic="http://schemas.openxmlformats.org/drawingml/2006/picture">
                        <pic:nvPicPr>
                          <pic:cNvPr id="6" name="תמונה 6" descr="C:\Users\Lenab\AppData\Local\Microsoft\Windows\Temporary Internet Files\Content.Word\022768311.tif"/>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3290" cy="647065"/>
                          </a:xfrm>
                          <a:prstGeom prst="rect">
                            <a:avLst/>
                          </a:prstGeom>
                          <a:noFill/>
                          <a:ln>
                            <a:noFill/>
                          </a:ln>
                        </pic:spPr>
                      </pic:pic>
                    </a:graphicData>
                  </a:graphic>
                </wp:inline>
              </w:drawing>
            </w:r>
          </w:p>
        </w:tc>
        <w:tc>
          <w:tcPr>
            <w:tcW w:w="360" w:type="dxa"/>
            <w:vAlign w:val="bottom"/>
          </w:tcPr>
          <w:p w:rsidR="00900462" w:rsidRDefault="00900462">
            <w:pPr>
              <w:jc w:val="center"/>
              <w:rPr>
                <w:rFonts w:ascii="Courier New" w:hAnsi="Courier New"/>
                <w:b/>
                <w:bCs/>
              </w:rPr>
            </w:pPr>
          </w:p>
        </w:tc>
        <w:tc>
          <w:tcPr>
            <w:tcW w:w="2406" w:type="dxa"/>
            <w:tcBorders>
              <w:top w:val="nil"/>
              <w:left w:val="nil"/>
              <w:bottom w:val="single" w:sz="4" w:space="0" w:color="auto"/>
              <w:right w:val="nil"/>
            </w:tcBorders>
            <w:vAlign w:val="bottom"/>
          </w:tcPr>
          <w:p w:rsidR="00900462" w:rsidRDefault="00900462">
            <w:pPr>
              <w:jc w:val="center"/>
              <w:rPr>
                <w:rFonts w:ascii="Courier New" w:hAnsi="Courier New"/>
                <w:b/>
                <w:bCs/>
              </w:rPr>
            </w:pPr>
            <w:r w:rsidRPr="00907CD0">
              <w:rPr>
                <w:rFonts w:ascii="Courier New" w:hAnsi="Courier New"/>
                <w:b/>
                <w:bCs/>
                <w:noProof/>
                <w:rtl/>
              </w:rPr>
              <w:drawing>
                <wp:inline distT="0" distB="0" distL="0" distR="0" wp14:anchorId="61660897" wp14:editId="22648431">
                  <wp:extent cx="1304925" cy="828675"/>
                  <wp:effectExtent l="0" t="0" r="9525" b="9525"/>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04925" cy="828675"/>
                          </a:xfrm>
                          <a:prstGeom prst="rect">
                            <a:avLst/>
                          </a:prstGeom>
                          <a:noFill/>
                          <a:ln>
                            <a:noFill/>
                          </a:ln>
                        </pic:spPr>
                      </pic:pic>
                    </a:graphicData>
                  </a:graphic>
                </wp:inline>
              </w:drawing>
            </w:r>
          </w:p>
        </w:tc>
        <w:tc>
          <w:tcPr>
            <w:tcW w:w="346" w:type="dxa"/>
            <w:vAlign w:val="bottom"/>
          </w:tcPr>
          <w:p w:rsidR="00900462" w:rsidRDefault="00900462">
            <w:pPr>
              <w:jc w:val="center"/>
              <w:rPr>
                <w:rFonts w:ascii="Courier New" w:hAnsi="Courier New"/>
                <w:b/>
                <w:bCs/>
              </w:rPr>
            </w:pPr>
          </w:p>
        </w:tc>
        <w:tc>
          <w:tcPr>
            <w:tcW w:w="2576" w:type="dxa"/>
            <w:tcBorders>
              <w:top w:val="nil"/>
              <w:left w:val="nil"/>
              <w:bottom w:val="single" w:sz="4" w:space="0" w:color="auto"/>
              <w:right w:val="nil"/>
            </w:tcBorders>
            <w:vAlign w:val="bottom"/>
          </w:tcPr>
          <w:p w:rsidR="00900462" w:rsidRDefault="00900462">
            <w:pPr>
              <w:jc w:val="center"/>
              <w:rPr>
                <w:rFonts w:ascii="Courier New" w:hAnsi="Courier New"/>
                <w:b/>
                <w:bCs/>
              </w:rPr>
            </w:pPr>
            <w:r>
              <w:rPr>
                <w:noProof/>
              </w:rPr>
              <w:drawing>
                <wp:inline distT="0" distB="0" distL="0" distR="0" wp14:anchorId="1F86D0AC" wp14:editId="2A8A4600">
                  <wp:extent cx="1173480" cy="854075"/>
                  <wp:effectExtent l="0" t="0" r="7620" b="3175"/>
                  <wp:docPr id="7" name="תמונה 7" descr="\\ctlnfsv02\Doc_repository\JudgesSignatures\05042006\נציגי שבס - וועדות שחרורים\057793853.tif"/>
                  <wp:cNvGraphicFramePr/>
                  <a:graphic xmlns:a="http://schemas.openxmlformats.org/drawingml/2006/main">
                    <a:graphicData uri="http://schemas.openxmlformats.org/drawingml/2006/picture">
                      <pic:pic xmlns:pic="http://schemas.openxmlformats.org/drawingml/2006/picture">
                        <pic:nvPicPr>
                          <pic:cNvPr id="7" name="תמונה 7" descr="\\ctlnfsv02\Doc_repository\JudgesSignatures\05042006\נציגי שבס - וועדות שחרורים\057793853.tif"/>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3480" cy="854075"/>
                          </a:xfrm>
                          <a:prstGeom prst="rect">
                            <a:avLst/>
                          </a:prstGeom>
                          <a:noFill/>
                          <a:ln>
                            <a:noFill/>
                          </a:ln>
                        </pic:spPr>
                      </pic:pic>
                    </a:graphicData>
                  </a:graphic>
                </wp:inline>
              </w:drawing>
            </w:r>
          </w:p>
        </w:tc>
      </w:tr>
      <w:tr w:rsidR="00900462">
        <w:tc>
          <w:tcPr>
            <w:tcW w:w="2834" w:type="dxa"/>
            <w:tcBorders>
              <w:top w:val="single" w:sz="4" w:space="0" w:color="auto"/>
              <w:left w:val="nil"/>
              <w:bottom w:val="nil"/>
              <w:right w:val="nil"/>
            </w:tcBorders>
          </w:tcPr>
          <w:p w:rsidR="00900462" w:rsidRDefault="00900462">
            <w:pPr>
              <w:spacing w:line="360" w:lineRule="auto"/>
              <w:jc w:val="center"/>
              <w:rPr>
                <w:b/>
                <w:bCs/>
                <w:rtl/>
              </w:rPr>
            </w:pPr>
            <w:r>
              <w:rPr>
                <w:rFonts w:hint="cs"/>
                <w:b/>
                <w:bCs/>
                <w:rtl/>
              </w:rPr>
              <w:t xml:space="preserve">י. ליפשיץ , שופט </w:t>
            </w:r>
          </w:p>
          <w:p w:rsidR="00900462" w:rsidRDefault="00900462">
            <w:pPr>
              <w:spacing w:line="360" w:lineRule="auto"/>
              <w:jc w:val="center"/>
              <w:rPr>
                <w:b/>
                <w:bCs/>
              </w:rPr>
            </w:pPr>
            <w:r>
              <w:rPr>
                <w:rFonts w:hint="cs"/>
                <w:b/>
                <w:bCs/>
                <w:rtl/>
              </w:rPr>
              <w:t>[אב"ד]</w:t>
            </w:r>
          </w:p>
        </w:tc>
        <w:tc>
          <w:tcPr>
            <w:tcW w:w="360" w:type="dxa"/>
          </w:tcPr>
          <w:p w:rsidR="00900462" w:rsidRDefault="00900462">
            <w:pPr>
              <w:spacing w:line="360" w:lineRule="auto"/>
              <w:rPr>
                <w:b/>
                <w:bCs/>
                <w:color w:val="FF0000"/>
              </w:rPr>
            </w:pPr>
          </w:p>
        </w:tc>
        <w:tc>
          <w:tcPr>
            <w:tcW w:w="2406" w:type="dxa"/>
            <w:tcBorders>
              <w:top w:val="single" w:sz="4" w:space="0" w:color="auto"/>
              <w:left w:val="nil"/>
              <w:bottom w:val="nil"/>
              <w:right w:val="nil"/>
            </w:tcBorders>
          </w:tcPr>
          <w:p w:rsidR="00900462" w:rsidRPr="000D21A9" w:rsidRDefault="00900462" w:rsidP="00167CDF">
            <w:pPr>
              <w:spacing w:line="360" w:lineRule="auto"/>
              <w:jc w:val="center"/>
              <w:rPr>
                <w:b/>
                <w:bCs/>
                <w:rtl/>
              </w:rPr>
            </w:pPr>
            <w:r>
              <w:rPr>
                <w:rFonts w:hint="cs"/>
                <w:b/>
                <w:bCs/>
                <w:rtl/>
              </w:rPr>
              <w:t>ג. ציגלר , שופטת</w:t>
            </w:r>
          </w:p>
        </w:tc>
        <w:tc>
          <w:tcPr>
            <w:tcW w:w="346" w:type="dxa"/>
          </w:tcPr>
          <w:p w:rsidR="00900462" w:rsidRDefault="00900462">
            <w:pPr>
              <w:spacing w:line="360" w:lineRule="auto"/>
              <w:rPr>
                <w:b/>
                <w:bCs/>
                <w:color w:val="FF0000"/>
              </w:rPr>
            </w:pPr>
          </w:p>
        </w:tc>
        <w:tc>
          <w:tcPr>
            <w:tcW w:w="2576" w:type="dxa"/>
            <w:tcBorders>
              <w:top w:val="single" w:sz="4" w:space="0" w:color="auto"/>
              <w:left w:val="nil"/>
              <w:bottom w:val="nil"/>
              <w:right w:val="nil"/>
            </w:tcBorders>
          </w:tcPr>
          <w:p w:rsidR="00900462" w:rsidRDefault="00900462" w:rsidP="007304A9">
            <w:pPr>
              <w:spacing w:line="360" w:lineRule="auto"/>
              <w:rPr>
                <w:b/>
                <w:bCs/>
              </w:rPr>
            </w:pPr>
            <w:r>
              <w:rPr>
                <w:rFonts w:hint="cs"/>
                <w:b/>
                <w:bCs/>
                <w:rtl/>
              </w:rPr>
              <w:t xml:space="preserve">         </w:t>
            </w:r>
            <w:r>
              <w:rPr>
                <w:rFonts w:ascii="Courier New" w:hAnsi="Courier New" w:hint="cs"/>
                <w:b/>
                <w:bCs/>
                <w:rtl/>
              </w:rPr>
              <w:t>ש. מנדלבום, שופט</w:t>
            </w:r>
          </w:p>
          <w:p w:rsidR="00900462" w:rsidRDefault="00900462">
            <w:pPr>
              <w:spacing w:line="360" w:lineRule="auto"/>
              <w:jc w:val="center"/>
              <w:rPr>
                <w:b/>
                <w:bCs/>
                <w:rtl/>
              </w:rPr>
            </w:pPr>
          </w:p>
        </w:tc>
      </w:tr>
    </w:tbl>
    <w:p w:rsidR="00900462" w:rsidRDefault="00900462">
      <w:pPr>
        <w:rPr>
          <w:rtl/>
        </w:rPr>
      </w:pPr>
    </w:p>
    <w:p w:rsidR="00900462" w:rsidRDefault="00900462">
      <w:pPr>
        <w:rPr>
          <w:rtl/>
        </w:rPr>
      </w:pPr>
    </w:p>
    <w:sectPr w:rsidR="00900462" w:rsidSect="00870F64">
      <w:headerReference w:type="even" r:id="rId14"/>
      <w:headerReference w:type="default" r:id="rId15"/>
      <w:footerReference w:type="even" r:id="rId16"/>
      <w:footerReference w:type="default" r:id="rId17"/>
      <w:headerReference w:type="first" r:id="rId18"/>
      <w:footerReference w:type="first" r:id="rId19"/>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7E80" w:rsidRDefault="00367E80">
      <w:r>
        <w:separator/>
      </w:r>
    </w:p>
  </w:endnote>
  <w:endnote w:type="continuationSeparator" w:id="0">
    <w:p w:rsidR="00367E80" w:rsidRDefault="00367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3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0F3" w:rsidRDefault="004040F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036E98">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036E98">
      <w:rPr>
        <w:noProof/>
        <w:rtl/>
      </w:rPr>
      <w:t>38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0F3" w:rsidRDefault="004040F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7E80" w:rsidRDefault="00367E80">
      <w:r>
        <w:separator/>
      </w:r>
    </w:p>
  </w:footnote>
  <w:footnote w:type="continuationSeparator" w:id="0">
    <w:p w:rsidR="00367E80" w:rsidRDefault="00367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0F3" w:rsidRDefault="004040F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המשפט המחוזי בחיפה</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Default="00367E80">
          <w:pPr>
            <w:rPr>
              <w:rFonts w:cs="FrankRuehl"/>
              <w:sz w:val="28"/>
              <w:szCs w:val="28"/>
              <w:rtl/>
            </w:rPr>
          </w:pPr>
          <w:sdt>
            <w:sdtPr>
              <w:rPr>
                <w:rtl/>
              </w:rPr>
              <w:alias w:val="1170"/>
              <w:tag w:val="1170"/>
              <w:id w:val="873580151"/>
              <w:text w:multiLine="1"/>
            </w:sdtPr>
            <w:sdtEndPr/>
            <w:sdtContent>
              <w:r w:rsidR="006F6206">
                <w:rPr>
                  <w:rFonts w:cs="FrankRuehl"/>
                  <w:sz w:val="28"/>
                  <w:szCs w:val="28"/>
                  <w:rtl/>
                </w:rPr>
                <w:t>תפ"ח</w:t>
              </w:r>
            </w:sdtContent>
          </w:sdt>
          <w:r w:rsidR="0051562C">
            <w:rPr>
              <w:rFonts w:cs="FrankRuehl" w:hint="cs"/>
              <w:sz w:val="28"/>
              <w:szCs w:val="28"/>
              <w:rtl/>
            </w:rPr>
            <w:t xml:space="preserve"> </w:t>
          </w:r>
          <w:sdt>
            <w:sdtPr>
              <w:rPr>
                <w:rtl/>
              </w:rPr>
              <w:alias w:val="1171"/>
              <w:tag w:val="1171"/>
              <w:id w:val="910738904"/>
              <w:text w:multiLine="1"/>
            </w:sdtPr>
            <w:sdtEndPr/>
            <w:sdtContent>
              <w:r w:rsidR="006F6206">
                <w:rPr>
                  <w:rFonts w:cs="FrankRuehl"/>
                  <w:sz w:val="28"/>
                  <w:szCs w:val="28"/>
                  <w:rtl/>
                </w:rPr>
                <w:t>55524-06-21</w:t>
              </w:r>
            </w:sdtContent>
          </w:sdt>
          <w:r w:rsidR="0051562C">
            <w:rPr>
              <w:rFonts w:cs="FrankRuehl" w:hint="cs"/>
              <w:sz w:val="28"/>
              <w:szCs w:val="28"/>
              <w:rtl/>
            </w:rPr>
            <w:t xml:space="preserve"> </w:t>
          </w:r>
          <w:sdt>
            <w:sdtPr>
              <w:rPr>
                <w:rtl/>
              </w:rPr>
              <w:alias w:val="1172"/>
              <w:tag w:val="1172"/>
              <w:id w:val="1749923716"/>
              <w:text w:multiLine="1"/>
            </w:sdtPr>
            <w:sdtEndPr/>
            <w:sdtContent>
              <w:r w:rsidR="006F6206">
                <w:rPr>
                  <w:rFonts w:cs="FrankRuehl"/>
                  <w:sz w:val="28"/>
                  <w:szCs w:val="28"/>
                  <w:rtl/>
                </w:rPr>
                <w:t>מדינת ישראל נ' עבאס(עציר) ואח'</w:t>
              </w:r>
            </w:sdtContent>
          </w:sdt>
        </w:p>
        <w:p w:rsidR="00870F64" w:rsidRDefault="00870F64">
          <w:pPr>
            <w:pStyle w:val="a3"/>
            <w:rPr>
              <w:rtl/>
            </w:rPr>
          </w:pPr>
        </w:p>
      </w:tc>
    </w:tr>
  </w:tbl>
  <w:p w:rsidR="00870F64" w:rsidRDefault="0051562C">
    <w:pPr>
      <w:pStyle w:val="a3"/>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0F3" w:rsidRDefault="004040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3C0276"/>
    <w:multiLevelType w:val="hybridMultilevel"/>
    <w:tmpl w:val="B36A5E20"/>
    <w:lvl w:ilvl="0" w:tplc="822C316A">
      <w:start w:val="1"/>
      <w:numFmt w:val="decimal"/>
      <w:lvlText w:val="%1."/>
      <w:lvlJc w:val="left"/>
      <w:pPr>
        <w:ind w:left="720" w:hanging="360"/>
      </w:pPr>
      <w:rPr>
        <w:b w:val="0"/>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2"/>
  </w:num>
  <w:num w:numId="4">
    <w:abstractNumId w:val="0"/>
  </w:num>
  <w:num w:numId="5">
    <w:abstractNumId w:val="4"/>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F64"/>
    <w:rsid w:val="00036E98"/>
    <w:rsid w:val="00097BFF"/>
    <w:rsid w:val="00097EAE"/>
    <w:rsid w:val="000D676C"/>
    <w:rsid w:val="000E5776"/>
    <w:rsid w:val="0016006A"/>
    <w:rsid w:val="00186BCB"/>
    <w:rsid w:val="002039F6"/>
    <w:rsid w:val="0020644E"/>
    <w:rsid w:val="00265563"/>
    <w:rsid w:val="002A5862"/>
    <w:rsid w:val="002D68F5"/>
    <w:rsid w:val="00305BA5"/>
    <w:rsid w:val="00334A35"/>
    <w:rsid w:val="00337463"/>
    <w:rsid w:val="00367E80"/>
    <w:rsid w:val="003A027F"/>
    <w:rsid w:val="003C74D6"/>
    <w:rsid w:val="004030EA"/>
    <w:rsid w:val="004040F3"/>
    <w:rsid w:val="00407D1A"/>
    <w:rsid w:val="004334DF"/>
    <w:rsid w:val="00456A55"/>
    <w:rsid w:val="004D3F48"/>
    <w:rsid w:val="004F2B64"/>
    <w:rsid w:val="0051562C"/>
    <w:rsid w:val="0052227C"/>
    <w:rsid w:val="00587C90"/>
    <w:rsid w:val="005C3A98"/>
    <w:rsid w:val="0064690D"/>
    <w:rsid w:val="006958A7"/>
    <w:rsid w:val="006B4DB5"/>
    <w:rsid w:val="006F0E62"/>
    <w:rsid w:val="006F6206"/>
    <w:rsid w:val="007B34BE"/>
    <w:rsid w:val="007C40F8"/>
    <w:rsid w:val="007C7991"/>
    <w:rsid w:val="007F2E63"/>
    <w:rsid w:val="00810372"/>
    <w:rsid w:val="00834D17"/>
    <w:rsid w:val="00870F64"/>
    <w:rsid w:val="008D35B7"/>
    <w:rsid w:val="008D38B7"/>
    <w:rsid w:val="00900462"/>
    <w:rsid w:val="00906D9D"/>
    <w:rsid w:val="009074A1"/>
    <w:rsid w:val="009251A2"/>
    <w:rsid w:val="00942F8C"/>
    <w:rsid w:val="009866F0"/>
    <w:rsid w:val="00A27B94"/>
    <w:rsid w:val="00A5454F"/>
    <w:rsid w:val="00AE60C8"/>
    <w:rsid w:val="00B20868"/>
    <w:rsid w:val="00B949CB"/>
    <w:rsid w:val="00BF0FEA"/>
    <w:rsid w:val="00C842D3"/>
    <w:rsid w:val="00C863A8"/>
    <w:rsid w:val="00CC3C76"/>
    <w:rsid w:val="00D63841"/>
    <w:rsid w:val="00DC081D"/>
    <w:rsid w:val="00E20138"/>
    <w:rsid w:val="00E92233"/>
    <w:rsid w:val="00EA352A"/>
    <w:rsid w:val="00EB19E0"/>
    <w:rsid w:val="00EE1AFA"/>
    <w:rsid w:val="00F4577C"/>
    <w:rsid w:val="00F470DB"/>
    <w:rsid w:val="00F61193"/>
    <w:rsid w:val="00F718A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 w:type="paragraph" w:customStyle="1" w:styleId="12">
    <w:name w:val="רגיל + ‏12 נק'"/>
    <w:aliases w:val="מיושר לשני הצדדים,מרווח בין שורות:  שורה וחצי"/>
    <w:basedOn w:val="a"/>
    <w:rPr>
      <w:rFonts w:ascii="Times New Roman" w:hAnsi="Times New Roman"/>
      <w:b/>
      <w:bCs/>
      <w:u w:val="single"/>
    </w:rPr>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character" w:styleId="Hyperlink">
    <w:name w:val="Hyperlink"/>
    <w:semiHidden/>
    <w:unhideWhenUsed/>
    <w:rsid w:val="00097EAE"/>
    <w:rPr>
      <w:color w:val="0000FF"/>
      <w:u w:val="single"/>
    </w:rPr>
  </w:style>
  <w:style w:type="paragraph" w:styleId="aa">
    <w:name w:val="List Paragraph"/>
    <w:basedOn w:val="a"/>
    <w:uiPriority w:val="34"/>
    <w:qFormat/>
    <w:rsid w:val="00097EAE"/>
    <w:pPr>
      <w:spacing w:after="160" w:line="256" w:lineRule="auto"/>
      <w:ind w:left="720"/>
      <w:contextualSpacing/>
    </w:pPr>
    <w:rPr>
      <w:rFonts w:asciiTheme="minorHAnsi" w:eastAsiaTheme="minorHAnsi" w:hAnsiTheme="minorHAnsi" w:cstheme="minorBidi"/>
      <w:sz w:val="22"/>
      <w:szCs w:val="22"/>
    </w:rPr>
  </w:style>
  <w:style w:type="paragraph" w:styleId="ab">
    <w:name w:val="Title"/>
    <w:basedOn w:val="a"/>
    <w:link w:val="ac"/>
    <w:qFormat/>
    <w:rsid w:val="00097EAE"/>
    <w:pPr>
      <w:shd w:val="pct20" w:color="auto" w:fill="FFFFFF"/>
      <w:spacing w:line="480" w:lineRule="auto"/>
      <w:ind w:left="1701" w:hanging="1701"/>
      <w:jc w:val="center"/>
    </w:pPr>
    <w:rPr>
      <w:rFonts w:ascii="Times New Roman" w:hAnsi="Times New Roman" w:cs="Times New Roman"/>
      <w:b/>
      <w:bCs/>
      <w:sz w:val="20"/>
      <w:szCs w:val="28"/>
      <w:u w:val="single"/>
      <w:lang w:eastAsia="he-IL"/>
    </w:rPr>
  </w:style>
  <w:style w:type="character" w:customStyle="1" w:styleId="ac">
    <w:name w:val="כותרת טקסט תו"/>
    <w:basedOn w:val="a0"/>
    <w:link w:val="ab"/>
    <w:rsid w:val="00097EAE"/>
    <w:rPr>
      <w:b/>
      <w:bCs/>
      <w:szCs w:val="28"/>
      <w:u w:val="single"/>
      <w:shd w:val="pct20" w:color="auto" w:fill="FFFFFF"/>
      <w:lang w:eastAsia="he-IL"/>
    </w:rPr>
  </w:style>
  <w:style w:type="character" w:customStyle="1" w:styleId="Ruller4">
    <w:name w:val="Ruller4 תו"/>
    <w:basedOn w:val="a0"/>
    <w:link w:val="Ruller40"/>
    <w:locked/>
    <w:rsid w:val="00097EAE"/>
    <w:rPr>
      <w:rFonts w:ascii="Arial TUR" w:hAnsi="Arial TUR" w:cs="FrankRuehl"/>
      <w:spacing w:val="10"/>
      <w:szCs w:val="28"/>
    </w:rPr>
  </w:style>
  <w:style w:type="paragraph" w:customStyle="1" w:styleId="Ruller40">
    <w:name w:val="Ruller4"/>
    <w:basedOn w:val="a"/>
    <w:link w:val="Ruller4"/>
    <w:rsid w:val="00097EAE"/>
    <w:pPr>
      <w:tabs>
        <w:tab w:val="left" w:pos="800"/>
      </w:tabs>
      <w:overflowPunct w:val="0"/>
      <w:autoSpaceDE w:val="0"/>
      <w:autoSpaceDN w:val="0"/>
      <w:adjustRightInd w:val="0"/>
      <w:spacing w:line="360" w:lineRule="auto"/>
      <w:jc w:val="both"/>
    </w:pPr>
    <w:rPr>
      <w:rFonts w:ascii="Arial TUR" w:hAnsi="Arial TUR" w:cs="FrankRuehl"/>
      <w:spacing w:val="10"/>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158694883">
      <w:bodyDiv w:val="1"/>
      <w:marLeft w:val="0"/>
      <w:marRight w:val="0"/>
      <w:marTop w:val="0"/>
      <w:marBottom w:val="0"/>
      <w:divBdr>
        <w:top w:val="none" w:sz="0" w:space="0" w:color="auto"/>
        <w:left w:val="none" w:sz="0" w:space="0" w:color="auto"/>
        <w:bottom w:val="none" w:sz="0" w:space="0" w:color="auto"/>
        <w:right w:val="none" w:sz="0" w:space="0" w:color="auto"/>
      </w:divBdr>
    </w:div>
    <w:div w:id="486677016">
      <w:bodyDiv w:val="1"/>
      <w:marLeft w:val="0"/>
      <w:marRight w:val="0"/>
      <w:marTop w:val="0"/>
      <w:marBottom w:val="0"/>
      <w:divBdr>
        <w:top w:val="none" w:sz="0" w:space="0" w:color="auto"/>
        <w:left w:val="none" w:sz="0" w:space="0" w:color="auto"/>
        <w:bottom w:val="none" w:sz="0" w:space="0" w:color="auto"/>
        <w:right w:val="none" w:sz="0" w:space="0" w:color="auto"/>
      </w:divBdr>
    </w:div>
    <w:div w:id="921180682">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311790915">
      <w:bodyDiv w:val="1"/>
      <w:marLeft w:val="0"/>
      <w:marRight w:val="0"/>
      <w:marTop w:val="0"/>
      <w:marBottom w:val="0"/>
      <w:divBdr>
        <w:top w:val="none" w:sz="0" w:space="0" w:color="auto"/>
        <w:left w:val="none" w:sz="0" w:space="0" w:color="auto"/>
        <w:bottom w:val="none" w:sz="0" w:space="0" w:color="auto"/>
        <w:right w:val="none" w:sz="0" w:space="0" w:color="auto"/>
      </w:divBdr>
    </w:div>
    <w:div w:id="1828740566">
      <w:bodyDiv w:val="1"/>
      <w:marLeft w:val="0"/>
      <w:marRight w:val="0"/>
      <w:marTop w:val="0"/>
      <w:marBottom w:val="0"/>
      <w:divBdr>
        <w:top w:val="none" w:sz="0" w:space="0" w:color="auto"/>
        <w:left w:val="none" w:sz="0" w:space="0" w:color="auto"/>
        <w:bottom w:val="none" w:sz="0" w:space="0" w:color="auto"/>
        <w:right w:val="none" w:sz="0" w:space="0" w:color="auto"/>
      </w:divBdr>
    </w:div>
    <w:div w:id="209755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tif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nevo.co.il/case/5777788" TargetMode="Externa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FF13705229447FAA4AA1F160C43BEA2"/>
        <w:category>
          <w:name w:val="כללי"/>
          <w:gallery w:val="placeholder"/>
        </w:category>
        <w:types>
          <w:type w:val="bbPlcHdr"/>
        </w:types>
        <w:behaviors>
          <w:behavior w:val="content"/>
        </w:behaviors>
        <w:guid w:val="{40A1901E-E46C-4F73-8C54-AE064EE843B8}"/>
      </w:docPartPr>
      <w:docPartBody>
        <w:p w:rsidR="00012891" w:rsidRDefault="00C97C5C" w:rsidP="00C97C5C">
          <w:pPr>
            <w:pStyle w:val="5A947A4CD3794C1787DFBDB7708A00785"/>
          </w:pPr>
          <w:r>
            <w:rPr>
              <w:rFonts w:hint="cs"/>
              <w:rtl/>
            </w:rPr>
            <w:t xml:space="preserve">    </w:t>
          </w:r>
        </w:p>
      </w:docPartBody>
    </w:docPart>
    <w:docPart>
      <w:docPartPr>
        <w:name w:val="767601FDC2234353B65B4242295B8B1D"/>
        <w:category>
          <w:name w:val="כללי"/>
          <w:gallery w:val="placeholder"/>
        </w:category>
        <w:types>
          <w:type w:val="bbPlcHdr"/>
        </w:types>
        <w:behaviors>
          <w:behavior w:val="content"/>
        </w:behaviors>
        <w:guid w:val="{61F1C40D-366F-4924-93A8-89649A566676}"/>
      </w:docPartPr>
      <w:docPartBody>
        <w:p w:rsidR="00B14A40" w:rsidRDefault="004159CD">
          <w:pPr>
            <w:pStyle w:val="CFF13705229447FAA4AA1F160C43BEA2"/>
          </w:pPr>
          <w:r>
            <w:rPr>
              <w:b/>
              <w:bCs/>
              <w:sz w:val="26"/>
              <w:szCs w:val="26"/>
              <w:rtl/>
            </w:rPr>
            <w:t>תאור קבוצת שיכות צד א'</w:t>
          </w:r>
        </w:p>
      </w:docPartBody>
    </w:docPart>
    <w:docPart>
      <w:docPartPr>
        <w:name w:val="F69D9FFBFB2A4BC4924C06C35D557D81"/>
        <w:category>
          <w:name w:val="כללי"/>
          <w:gallery w:val="placeholder"/>
        </w:category>
        <w:types>
          <w:type w:val="bbPlcHdr"/>
        </w:types>
        <w:behaviors>
          <w:behavior w:val="content"/>
        </w:behaviors>
        <w:guid w:val="{8542BD73-6564-4DD8-88F7-2A4D22B8C713}"/>
      </w:docPartPr>
      <w:docPartBody>
        <w:p w:rsidR="00B14A40" w:rsidRDefault="004159CD">
          <w:pPr>
            <w:pStyle w:val="767601FDC2234353B65B4242295B8B1D"/>
          </w:pPr>
          <w:r>
            <w:rPr>
              <w:b/>
              <w:bCs/>
              <w:sz w:val="26"/>
              <w:szCs w:val="26"/>
              <w:rtl/>
            </w:rPr>
            <w:t>תאור קבוצת שיכות צד ב'</w:t>
          </w:r>
        </w:p>
      </w:docPartBody>
    </w:docPart>
    <w:docPart>
      <w:docPartPr>
        <w:name w:val="64936E29BB084FC58B3B5E829DC479F8"/>
        <w:category>
          <w:name w:val="כללי"/>
          <w:gallery w:val="placeholder"/>
        </w:category>
        <w:types>
          <w:type w:val="bbPlcHdr"/>
        </w:types>
        <w:behaviors>
          <w:behavior w:val="content"/>
        </w:behaviors>
        <w:guid w:val="{D9F29145-350E-42D1-A745-7D5B85605EA8}"/>
      </w:docPartPr>
      <w:docPartBody>
        <w:p w:rsidR="00B14A40" w:rsidRDefault="004159CD">
          <w:pPr>
            <w:pStyle w:val="F69D9FFBFB2A4BC4924C06C35D557D81"/>
          </w:pPr>
          <w:r>
            <w:rPr>
              <w:b/>
              <w:bCs/>
              <w:sz w:val="26"/>
              <w:szCs w:val="26"/>
              <w:rtl/>
            </w:rPr>
            <w:t>סוג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3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303435"/>
    <w:rsid w:val="0041073D"/>
    <w:rsid w:val="004159CD"/>
    <w:rsid w:val="006E0C75"/>
    <w:rsid w:val="006F21A2"/>
    <w:rsid w:val="00845549"/>
    <w:rsid w:val="008F2D33"/>
    <w:rsid w:val="00AC6BCB"/>
    <w:rsid w:val="00B14A40"/>
    <w:rsid w:val="00C97C5C"/>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FF13705229447FAA4AA1F160C43BEA2">
    <w:name w:val="CFF13705229447FAA4AA1F160C43BEA2"/>
    <w:pPr>
      <w:bidi/>
    </w:pPr>
  </w:style>
  <w:style w:type="paragraph" w:customStyle="1" w:styleId="767601FDC2234353B65B4242295B8B1D">
    <w:name w:val="767601FDC2234353B65B4242295B8B1D"/>
    <w:pPr>
      <w:bidi/>
    </w:pPr>
  </w:style>
  <w:style w:type="paragraph" w:customStyle="1" w:styleId="F69D9FFBFB2A4BC4924C06C35D557D81">
    <w:name w:val="F69D9FFBFB2A4BC4924C06C35D557D81"/>
    <w:pPr>
      <w:bidi/>
    </w:pPr>
  </w:style>
  <w:style w:type="paragraph" w:customStyle="1" w:styleId="64936E29BB084FC58B3B5E829DC479F8">
    <w:name w:val="64936E29BB084FC58B3B5E829DC479F8"/>
    <w:pPr>
      <w:bidi/>
    </w:pPr>
  </w:style>
  <w:style w:type="character" w:styleId="a3">
    <w:name w:val="Placeholder Text"/>
    <w:basedOn w:val="a0"/>
    <w:uiPriority w:val="99"/>
    <w:semiHidden/>
    <w:rsid w:val="004159CD"/>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4159CD"/>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13028</Words>
  <Characters>65144</Characters>
  <Application>Microsoft Office Word</Application>
  <DocSecurity>0</DocSecurity>
  <Lines>542</Lines>
  <Paragraphs>156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2023-07-13T05:31:00Z</cp:lastPrinted>
  <dcterms:created xsi:type="dcterms:W3CDTF">2023-07-16T12:54:00Z</dcterms:created>
  <dcterms:modified xsi:type="dcterms:W3CDTF">2023-07-16T12:54:00Z</dcterms:modified>
</cp:coreProperties>
</file>